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bookmarkStart w:id="6" w:name="_GoBack"/>
      <w:bookmarkEnd w:id="6"/>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R2-1907108</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r>
        <w:rPr>
          <w:rFonts w:ascii="Arial" w:hAnsi="Arial" w:cs="Arial"/>
          <w:b/>
          <w:bCs/>
          <w:kern w:val="0"/>
          <w:szCs w:val="21"/>
        </w:rPr>
        <w:t>(revision of R2-1904259)</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configuration of CHO execution conditions</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12.3.3.1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The following agreements are made for conditional handover at RAN2#104, 105 and 105bis:</w:t>
      </w:r>
    </w:p>
    <w:p>
      <w:r>
        <w:rPr>
          <w:rFonts w:hint="eastAsia"/>
        </w:rPr>
        <w:t>RAN2#104:</w:t>
      </w:r>
    </w:p>
    <w:p>
      <w:pPr>
        <w:pStyle w:val="82"/>
        <w:pBdr>
          <w:top w:val="single" w:color="auto" w:sz="4" w:space="1"/>
          <w:left w:val="single" w:color="auto" w:sz="4" w:space="4"/>
          <w:bottom w:val="single" w:color="auto" w:sz="4" w:space="1"/>
          <w:right w:val="single" w:color="auto" w:sz="4" w:space="4"/>
        </w:pBdr>
        <w:rPr>
          <w:i/>
          <w:iCs/>
        </w:rPr>
      </w:pPr>
      <w:r>
        <w:rPr>
          <w:i/>
          <w:iCs/>
        </w:rPr>
        <w:t>Agreements</w:t>
      </w:r>
    </w:p>
    <w:p>
      <w:pPr>
        <w:pStyle w:val="82"/>
        <w:pBdr>
          <w:top w:val="single" w:color="auto" w:sz="4" w:space="1"/>
          <w:left w:val="single" w:color="auto" w:sz="4" w:space="4"/>
          <w:bottom w:val="single" w:color="auto" w:sz="4" w:space="1"/>
          <w:right w:val="single" w:color="auto" w:sz="4" w:space="4"/>
        </w:pBdr>
        <w:rPr>
          <w:i/>
          <w:iCs/>
        </w:rPr>
      </w:pPr>
      <w:r>
        <w:rPr>
          <w:i/>
          <w:iCs/>
        </w:rPr>
        <w:t>1</w:t>
      </w:r>
      <w:r>
        <w:rPr>
          <w:i/>
          <w:iCs/>
        </w:rPr>
        <w:tab/>
      </w:r>
      <w:r>
        <w:rPr>
          <w:i/>
          <w:iCs/>
        </w:rPr>
        <w:t xml:space="preserve">RAN2 will consider a conditional handover: This is defined as UE having network configuration for initiating access to a target cell based on configured condition(s). </w:t>
      </w:r>
    </w:p>
    <w:p>
      <w:pPr>
        <w:pStyle w:val="82"/>
        <w:pBdr>
          <w:top w:val="single" w:color="auto" w:sz="4" w:space="1"/>
          <w:left w:val="single" w:color="auto" w:sz="4" w:space="4"/>
          <w:bottom w:val="single" w:color="auto" w:sz="4" w:space="1"/>
          <w:right w:val="single" w:color="auto" w:sz="4" w:space="4"/>
        </w:pBdr>
        <w:rPr>
          <w:i/>
          <w:iCs/>
        </w:rPr>
      </w:pPr>
      <w:r>
        <w:rPr>
          <w:i/>
          <w:iCs/>
        </w:rPr>
        <w:t>2</w:t>
      </w:r>
      <w:r>
        <w:rPr>
          <w:i/>
          <w:iCs/>
        </w:rPr>
        <w:tab/>
      </w:r>
      <w:r>
        <w:rPr>
          <w:i/>
          <w:iCs/>
        </w:rPr>
        <w:t>Usage of conditional handover is decided by network. UE evaluates when the condition is valid.</w:t>
      </w:r>
    </w:p>
    <w:p>
      <w:pPr>
        <w:pStyle w:val="82"/>
        <w:rPr>
          <w:i/>
          <w:iCs/>
        </w:rPr>
      </w:pPr>
      <w:r>
        <w:rPr>
          <w:i/>
          <w:iCs/>
        </w:rPr>
        <w:t>=&gt;</w:t>
      </w:r>
      <w:r>
        <w:rPr>
          <w:i/>
          <w:iCs/>
        </w:rPr>
        <w:tab/>
      </w:r>
      <w:r>
        <w:rPr>
          <w:i/>
          <w:iCs/>
        </w:rPr>
        <w:t>FFS on the exact details of the procedures</w:t>
      </w:r>
    </w:p>
    <w:p>
      <w:pPr>
        <w:pStyle w:val="82"/>
        <w:pBdr>
          <w:top w:val="single" w:color="auto" w:sz="4" w:space="1"/>
          <w:left w:val="single" w:color="auto" w:sz="4" w:space="4"/>
          <w:bottom w:val="single" w:color="auto" w:sz="4" w:space="1"/>
          <w:right w:val="single" w:color="auto" w:sz="4" w:space="4"/>
        </w:pBdr>
        <w:rPr>
          <w:i/>
          <w:iCs/>
        </w:rPr>
      </w:pPr>
      <w:r>
        <w:rPr>
          <w:i/>
          <w:iCs/>
        </w:rPr>
        <w:t>Agreements</w:t>
      </w:r>
    </w:p>
    <w:p>
      <w:pPr>
        <w:pStyle w:val="82"/>
        <w:pBdr>
          <w:top w:val="single" w:color="auto" w:sz="4" w:space="1"/>
          <w:left w:val="single" w:color="auto" w:sz="4" w:space="4"/>
          <w:bottom w:val="single" w:color="auto" w:sz="4" w:space="1"/>
          <w:right w:val="single" w:color="auto" w:sz="4" w:space="4"/>
        </w:pBdr>
        <w:rPr>
          <w:i/>
          <w:iCs/>
          <w:highlight w:val="yellow"/>
        </w:rPr>
      </w:pPr>
      <w:r>
        <w:rPr>
          <w:i/>
          <w:iCs/>
        </w:rPr>
        <w:t>1</w:t>
      </w:r>
      <w:r>
        <w:rPr>
          <w:i/>
          <w:iCs/>
        </w:rPr>
        <w:tab/>
      </w:r>
      <w:r>
        <w:rPr>
          <w:i/>
          <w:iCs/>
          <w:highlight w:val="yellow"/>
        </w:rPr>
        <w:t xml:space="preserve">Support configuration of </w:t>
      </w:r>
      <w:bookmarkStart w:id="2" w:name="OLE_LINK2"/>
      <w:r>
        <w:rPr>
          <w:i/>
          <w:iCs/>
          <w:highlight w:val="yellow"/>
        </w:rPr>
        <w:t>one or more candidate cells</w:t>
      </w:r>
      <w:bookmarkEnd w:id="2"/>
      <w:r>
        <w:rPr>
          <w:i/>
          <w:iCs/>
          <w:highlight w:val="yellow"/>
        </w:rPr>
        <w:t xml:space="preserve"> for conditional handover.</w:t>
      </w:r>
    </w:p>
    <w:p>
      <w:pPr>
        <w:pStyle w:val="82"/>
        <w:rPr>
          <w:i/>
          <w:iCs/>
        </w:rPr>
      </w:pPr>
      <w:r>
        <w:rPr>
          <w:i/>
          <w:iCs/>
        </w:rPr>
        <w:t>=&gt;</w:t>
      </w:r>
      <w:r>
        <w:rPr>
          <w:i/>
          <w:iCs/>
        </w:rPr>
        <w:tab/>
      </w:r>
      <w:r>
        <w:rPr>
          <w:i/>
          <w:iCs/>
        </w:rPr>
        <w:t>FFS how many candidate cells (UE and network impacts should be clarified).</w:t>
      </w:r>
    </w:p>
    <w:p>
      <w:r>
        <w:rPr>
          <w:rFonts w:hint="eastAsia"/>
        </w:rPr>
        <w:t>RAN2#105:</w:t>
      </w:r>
    </w:p>
    <w:tbl>
      <w:tblPr>
        <w:tblStyle w:val="57"/>
        <w:tblW w:w="8728" w:type="dxa"/>
        <w:tblInd w:w="1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8" w:type="dxa"/>
          </w:tcPr>
          <w:p>
            <w:pPr>
              <w:rPr>
                <w:rFonts w:ascii="Arial" w:hAnsi="Arial" w:cs="Arial"/>
                <w:i/>
                <w:iCs/>
                <w:sz w:val="20"/>
                <w:szCs w:val="20"/>
                <w:highlight w:val="yellow"/>
                <w:lang w:eastAsia="en-US"/>
              </w:rPr>
            </w:pPr>
            <w:r>
              <w:rPr>
                <w:rFonts w:ascii="Arial" w:hAnsi="Arial" w:cs="Arial"/>
                <w:i/>
                <w:iCs/>
                <w:sz w:val="20"/>
                <w:szCs w:val="20"/>
                <w:lang w:eastAsia="en-US"/>
              </w:rPr>
              <w:t xml:space="preserve">1: </w:t>
            </w:r>
            <w:r>
              <w:rPr>
                <w:rFonts w:ascii="Arial" w:hAnsi="Arial" w:cs="Arial"/>
                <w:i/>
                <w:iCs/>
                <w:sz w:val="20"/>
                <w:szCs w:val="20"/>
                <w:highlight w:val="yellow"/>
                <w:lang w:eastAsia="en-US"/>
              </w:rPr>
              <w:t xml:space="preserve">The baseline operation for E-UTRAN Conditional HO procedure assumes HO command type of message contains HO </w:t>
            </w:r>
            <w:r>
              <w:rPr>
                <w:rFonts w:hint="eastAsia" w:ascii="Arial" w:hAnsi="Arial" w:cs="Arial"/>
                <w:i/>
                <w:iCs/>
                <w:sz w:val="20"/>
                <w:szCs w:val="20"/>
                <w:highlight w:val="yellow"/>
                <w:lang w:eastAsia="en-US"/>
              </w:rPr>
              <w:t>execution condition</w:t>
            </w:r>
            <w:r>
              <w:rPr>
                <w:rFonts w:ascii="Arial" w:hAnsi="Arial" w:cs="Arial"/>
                <w:i/>
                <w:iCs/>
                <w:sz w:val="20"/>
                <w:szCs w:val="20"/>
                <w:highlight w:val="yellow"/>
                <w:lang w:eastAsia="en-US"/>
              </w:rPr>
              <w:t>(s) and dedicated RRC configuration(s). UE accesses the prepared target when the relevant condition is met.</w:t>
            </w:r>
          </w:p>
          <w:p>
            <w:pPr>
              <w:rPr>
                <w:rFonts w:ascii="Arial" w:hAnsi="Arial" w:cs="Arial"/>
                <w:i/>
                <w:iCs/>
                <w:sz w:val="20"/>
                <w:szCs w:val="20"/>
                <w:lang w:eastAsia="en-US"/>
              </w:rPr>
            </w:pPr>
            <w:r>
              <w:rPr>
                <w:rFonts w:ascii="Arial" w:hAnsi="Arial" w:cs="Arial"/>
                <w:i/>
                <w:iCs/>
                <w:sz w:val="20"/>
                <w:szCs w:val="20"/>
                <w:lang w:eastAsia="en-US"/>
              </w:rPr>
              <w:t xml:space="preserve">3: The baseline operation for E-UTRAN Conditional HO assumes the source eNB remains responsible for RRC until UE successfully sends RRC Connection Reconfiguration Complete message to target eNB. </w:t>
            </w:r>
          </w:p>
          <w:p>
            <w:pPr>
              <w:rPr>
                <w:rFonts w:ascii="Arial" w:hAnsi="Arial" w:cs="Arial"/>
                <w:i/>
                <w:iCs/>
                <w:sz w:val="20"/>
                <w:szCs w:val="20"/>
                <w:lang w:eastAsia="en-US"/>
              </w:rPr>
            </w:pPr>
            <w:r>
              <w:rPr>
                <w:rFonts w:ascii="Arial" w:hAnsi="Arial" w:cs="Arial"/>
                <w:i/>
                <w:iCs/>
                <w:sz w:val="20"/>
                <w:szCs w:val="20"/>
                <w:lang w:eastAsia="en-US"/>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pPr>
              <w:rPr>
                <w:lang w:eastAsia="en-US"/>
              </w:rPr>
            </w:pPr>
            <w:r>
              <w:rPr>
                <w:rFonts w:ascii="Arial" w:hAnsi="Arial" w:cs="Arial"/>
                <w:i/>
                <w:iCs/>
                <w:sz w:val="20"/>
                <w:szCs w:val="20"/>
                <w:lang w:eastAsia="en-US"/>
              </w:rPr>
              <w:t>5: RAN2 will inform the Conditional HO assumptions (including the baseline operation) to RAN3 via LS at RAN#105bis, requesting RAN3 to kindly work on the CHO scheme aspects matching their expertise (e.g. data forwarding).</w:t>
            </w:r>
          </w:p>
        </w:tc>
      </w:tr>
    </w:tbl>
    <w:p>
      <w:r>
        <w:rPr>
          <w:rFonts w:hint="eastAsia"/>
        </w:rPr>
        <w:t>RAN2#105bis:</w:t>
      </w:r>
    </w:p>
    <w:p>
      <w:pPr>
        <w:pStyle w:val="82"/>
        <w:pBdr>
          <w:top w:val="single" w:color="auto" w:sz="4" w:space="1"/>
          <w:left w:val="single" w:color="auto" w:sz="4" w:space="4"/>
          <w:bottom w:val="single" w:color="auto" w:sz="4" w:space="1"/>
          <w:right w:val="single" w:color="auto" w:sz="4" w:space="4"/>
        </w:pBdr>
        <w:rPr>
          <w:i/>
          <w:iCs/>
        </w:rPr>
      </w:pPr>
      <w:r>
        <w:rPr>
          <w:rFonts w:hint="eastAsia"/>
          <w:i/>
          <w:iCs/>
        </w:rPr>
        <w:t>Agreements</w:t>
      </w:r>
    </w:p>
    <w:p>
      <w:pPr>
        <w:pStyle w:val="82"/>
        <w:pBdr>
          <w:top w:val="single" w:color="auto" w:sz="4" w:space="1"/>
          <w:left w:val="single" w:color="auto" w:sz="4" w:space="4"/>
          <w:bottom w:val="single" w:color="auto" w:sz="4" w:space="1"/>
          <w:right w:val="single" w:color="auto" w:sz="4" w:space="4"/>
        </w:pBdr>
        <w:rPr>
          <w:i/>
          <w:iCs/>
          <w:highlight w:val="yellow"/>
        </w:rPr>
      </w:pPr>
      <w:r>
        <w:rPr>
          <w:i/>
          <w:iCs/>
          <w:highlight w:val="yellow"/>
        </w:rPr>
        <w:t xml:space="preserve">1: </w:t>
      </w:r>
      <w:r>
        <w:rPr>
          <w:i/>
          <w:iCs/>
          <w:highlight w:val="yellow"/>
        </w:rPr>
        <w:tab/>
      </w:r>
      <w:r>
        <w:rPr>
          <w:i/>
          <w:iCs/>
          <w:highlight w:val="yellow"/>
        </w:rPr>
        <w:t xml:space="preserve">The CHO command contains at least the configuration information of target cell(s) and triggering conditions. </w:t>
      </w:r>
    </w:p>
    <w:p>
      <w:pPr>
        <w:pStyle w:val="82"/>
        <w:pBdr>
          <w:top w:val="single" w:color="auto" w:sz="4" w:space="1"/>
          <w:left w:val="single" w:color="auto" w:sz="4" w:space="4"/>
          <w:bottom w:val="single" w:color="auto" w:sz="4" w:space="1"/>
          <w:right w:val="single" w:color="auto" w:sz="4" w:space="4"/>
        </w:pBdr>
        <w:rPr>
          <w:i/>
          <w:iCs/>
          <w:highlight w:val="yellow"/>
        </w:rPr>
      </w:pPr>
      <w:r>
        <w:rPr>
          <w:i/>
          <w:iCs/>
          <w:highlight w:val="yellow"/>
        </w:rPr>
        <w:t>=&gt; FFS who decides the triggering conditions (source, target or source+target)</w:t>
      </w:r>
    </w:p>
    <w:p>
      <w:pPr>
        <w:pStyle w:val="82"/>
        <w:pBdr>
          <w:top w:val="single" w:color="auto" w:sz="4" w:space="1"/>
          <w:left w:val="single" w:color="auto" w:sz="4" w:space="4"/>
          <w:bottom w:val="single" w:color="auto" w:sz="4" w:space="1"/>
          <w:right w:val="single" w:color="auto" w:sz="4" w:space="4"/>
        </w:pBdr>
        <w:rPr>
          <w:i/>
          <w:iCs/>
        </w:rPr>
      </w:pPr>
      <w:r>
        <w:rPr>
          <w:rFonts w:hint="eastAsia"/>
          <w:i/>
          <w:iCs/>
        </w:rPr>
        <w:t>=&gt; FFS on transparent containers.</w:t>
      </w:r>
    </w:p>
    <w:p>
      <w:pPr>
        <w:pStyle w:val="82"/>
        <w:pBdr>
          <w:top w:val="single" w:color="auto" w:sz="4" w:space="1"/>
          <w:left w:val="single" w:color="auto" w:sz="4" w:space="4"/>
          <w:bottom w:val="single" w:color="auto" w:sz="4" w:space="1"/>
          <w:right w:val="single" w:color="auto" w:sz="4" w:space="4"/>
        </w:pBdr>
        <w:rPr>
          <w:i/>
          <w:iCs/>
        </w:rPr>
      </w:pPr>
      <w:r>
        <w:rPr>
          <w:rFonts w:hint="eastAsia"/>
          <w:i/>
          <w:iCs/>
        </w:rPr>
        <w:t>=&gt; FFS on the Stage-3 details</w:t>
      </w:r>
    </w:p>
    <w:p>
      <w:pPr>
        <w:pStyle w:val="82"/>
        <w:pBdr>
          <w:top w:val="single" w:color="auto" w:sz="4" w:space="1"/>
          <w:left w:val="single" w:color="auto" w:sz="4" w:space="4"/>
          <w:bottom w:val="single" w:color="auto" w:sz="4" w:space="1"/>
          <w:right w:val="single" w:color="auto" w:sz="4" w:space="4"/>
        </w:pBdr>
        <w:rPr>
          <w:i/>
          <w:iCs/>
        </w:rPr>
      </w:pPr>
      <w:r>
        <w:rPr>
          <w:rFonts w:hint="eastAsia"/>
          <w:i/>
          <w:iCs/>
        </w:rPr>
        <w:t>Agreements</w:t>
      </w:r>
    </w:p>
    <w:p>
      <w:pPr>
        <w:pStyle w:val="82"/>
        <w:pBdr>
          <w:top w:val="single" w:color="auto" w:sz="4" w:space="1"/>
          <w:left w:val="single" w:color="auto" w:sz="4" w:space="4"/>
          <w:bottom w:val="single" w:color="auto" w:sz="4" w:space="1"/>
          <w:right w:val="single" w:color="auto" w:sz="4" w:space="4"/>
        </w:pBdr>
        <w:rPr>
          <w:i/>
          <w:iCs/>
        </w:rPr>
      </w:pPr>
      <w:r>
        <w:rPr>
          <w:i/>
          <w:iCs/>
          <w:highlight w:val="yellow"/>
        </w:rPr>
        <w:t xml:space="preserve">1  Existing Ax measurement events can be used for executing CHO. </w:t>
      </w:r>
      <w:r>
        <w:rPr>
          <w:rFonts w:hint="eastAsia"/>
          <w:i/>
          <w:iCs/>
        </w:rPr>
        <w:t>FFS which Ax events can be used.</w:t>
      </w:r>
    </w:p>
    <w:p>
      <w:pPr>
        <w:pStyle w:val="82"/>
        <w:pBdr>
          <w:top w:val="single" w:color="auto" w:sz="4" w:space="1"/>
          <w:left w:val="single" w:color="auto" w:sz="4" w:space="4"/>
          <w:bottom w:val="single" w:color="auto" w:sz="4" w:space="1"/>
          <w:right w:val="single" w:color="auto" w:sz="4" w:space="4"/>
        </w:pBdr>
        <w:rPr>
          <w:i/>
          <w:iCs/>
        </w:rPr>
      </w:pPr>
      <w:r>
        <w:rPr>
          <w:rFonts w:hint="eastAsia"/>
          <w:i/>
          <w:iCs/>
        </w:rPr>
        <w:t>2  Conventional handover overrides any configured conditional handover command</w:t>
      </w:r>
    </w:p>
    <w:p>
      <w:pPr>
        <w:pStyle w:val="82"/>
        <w:pBdr>
          <w:top w:val="single" w:color="auto" w:sz="4" w:space="1"/>
          <w:left w:val="single" w:color="auto" w:sz="4" w:space="4"/>
          <w:bottom w:val="single" w:color="auto" w:sz="4" w:space="1"/>
          <w:right w:val="single" w:color="auto" w:sz="4" w:space="4"/>
        </w:pBdr>
        <w:rPr>
          <w:i/>
          <w:iCs/>
        </w:rPr>
      </w:pPr>
      <w:r>
        <w:rPr>
          <w:rFonts w:hint="eastAsia"/>
          <w:i/>
          <w:iCs/>
        </w:rPr>
        <w:t>3  The network can inform the UE to release CHO configurations (e.g. candidate cells) by RRC signaling.</w:t>
      </w:r>
    </w:p>
    <w:p>
      <w:pPr>
        <w:pStyle w:val="82"/>
        <w:pBdr>
          <w:top w:val="single" w:color="auto" w:sz="4" w:space="1"/>
          <w:left w:val="single" w:color="auto" w:sz="4" w:space="4"/>
          <w:bottom w:val="single" w:color="auto" w:sz="4" w:space="1"/>
          <w:right w:val="single" w:color="auto" w:sz="4" w:space="4"/>
        </w:pBdr>
        <w:rPr>
          <w:i/>
          <w:iCs/>
        </w:rPr>
      </w:pPr>
      <w:r>
        <w:rPr>
          <w:rFonts w:hint="eastAsia"/>
          <w:i/>
          <w:iCs/>
        </w:rPr>
        <w:t xml:space="preserve">=&gt; FFS how “CHO cmd” is formulated in Stage-3 signalling </w:t>
      </w:r>
    </w:p>
    <w:p>
      <w:pPr>
        <w:pStyle w:val="82"/>
        <w:pBdr>
          <w:top w:val="single" w:color="auto" w:sz="4" w:space="1"/>
          <w:left w:val="single" w:color="auto" w:sz="4" w:space="4"/>
          <w:bottom w:val="single" w:color="auto" w:sz="4" w:space="1"/>
          <w:right w:val="single" w:color="auto" w:sz="4" w:space="4"/>
        </w:pBdr>
        <w:rPr>
          <w:i/>
          <w:iCs/>
        </w:rPr>
      </w:pPr>
      <w:r>
        <w:rPr>
          <w:rFonts w:hint="eastAsia"/>
          <w:i/>
          <w:iCs/>
        </w:rPr>
        <w:t xml:space="preserve">=&gt; FFS whether UE continues to receive source cell while executing CHO cmd. </w:t>
      </w:r>
    </w:p>
    <w:p>
      <w:pPr>
        <w:pStyle w:val="82"/>
        <w:pBdr>
          <w:top w:val="single" w:color="auto" w:sz="4" w:space="1"/>
          <w:left w:val="single" w:color="auto" w:sz="4" w:space="4"/>
          <w:bottom w:val="single" w:color="auto" w:sz="4" w:space="1"/>
          <w:right w:val="single" w:color="auto" w:sz="4" w:space="4"/>
        </w:pBdr>
        <w:rPr>
          <w:i/>
          <w:iCs/>
        </w:rPr>
      </w:pPr>
      <w:r>
        <w:rPr>
          <w:rFonts w:hint="eastAsia"/>
          <w:i/>
          <w:iCs/>
        </w:rPr>
        <w:t xml:space="preserve">=&gt; FFS what UE does if it receives HO cmd while executing CHO cmd. </w:t>
      </w:r>
    </w:p>
    <w:p>
      <w:pPr>
        <w:pStyle w:val="82"/>
        <w:pBdr>
          <w:top w:val="single" w:color="auto" w:sz="4" w:space="1"/>
          <w:left w:val="single" w:color="auto" w:sz="4" w:space="4"/>
          <w:bottom w:val="single" w:color="auto" w:sz="4" w:space="1"/>
          <w:right w:val="single" w:color="auto" w:sz="4" w:space="4"/>
        </w:pBdr>
        <w:rPr>
          <w:i/>
          <w:iCs/>
        </w:rPr>
      </w:pPr>
      <w:r>
        <w:rPr>
          <w:rFonts w:hint="eastAsia"/>
          <w:i/>
          <w:iCs/>
        </w:rPr>
        <w:t xml:space="preserve">=&gt; FFS what UE does if NW removes CHO cmd while executing the same CHO cmd. </w:t>
      </w:r>
    </w:p>
    <w:p>
      <w:pPr>
        <w:pStyle w:val="82"/>
        <w:pBdr>
          <w:top w:val="single" w:color="auto" w:sz="4" w:space="1"/>
          <w:left w:val="single" w:color="auto" w:sz="4" w:space="4"/>
          <w:bottom w:val="single" w:color="auto" w:sz="4" w:space="1"/>
          <w:right w:val="single" w:color="auto" w:sz="4" w:space="4"/>
        </w:pBdr>
        <w:rPr>
          <w:i/>
          <w:iCs/>
        </w:rPr>
      </w:pPr>
      <w:r>
        <w:rPr>
          <w:rFonts w:hint="eastAsia"/>
          <w:i/>
          <w:iCs/>
        </w:rPr>
        <w:t>=&gt; FFS whether UE stores CHO commands in failure cases</w:t>
      </w:r>
    </w:p>
    <w:p>
      <w:pPr>
        <w:pStyle w:val="82"/>
        <w:pBdr>
          <w:top w:val="single" w:color="auto" w:sz="4" w:space="1"/>
          <w:left w:val="single" w:color="auto" w:sz="4" w:space="4"/>
          <w:bottom w:val="single" w:color="auto" w:sz="4" w:space="1"/>
          <w:right w:val="single" w:color="auto" w:sz="4" w:space="4"/>
        </w:pBdr>
        <w:rPr>
          <w:i/>
          <w:iCs/>
        </w:rPr>
      </w:pPr>
      <w:r>
        <w:rPr>
          <w:rFonts w:hint="eastAsia"/>
          <w:i/>
          <w:iCs/>
        </w:rPr>
        <w:t>=&gt; FFS whether CHO candidates can be released via other means.</w:t>
      </w:r>
    </w:p>
    <w:p>
      <w:r>
        <w:rPr>
          <w:rFonts w:hint="eastAsia"/>
        </w:rPr>
        <w:t>In this contribution, we share some views on the configuration of CHO triggering conditions.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bookmarkEnd w:id="3"/>
    <w:p>
      <w:r>
        <w:rPr>
          <w:rFonts w:hint="eastAsia"/>
        </w:rPr>
        <w:t>The baseline operation for E-UTRAN Conditional HO procedure assumes HO command type of message contains HO execution condition(s) and dedicated RRC configuration(s). It</w:t>
      </w:r>
      <w:r>
        <w:t>’</w:t>
      </w:r>
      <w:r>
        <w:rPr>
          <w:rFonts w:hint="eastAsia"/>
        </w:rPr>
        <w:t>s straightforward that the dedicated RRC configuration(s) should be completely generated by the target, just like what we do in the legacy handover procedure. The question is whether the CHO execution condition(s) is generated by the source or the target?</w:t>
      </w:r>
    </w:p>
    <w:p>
      <w:r>
        <w:rPr>
          <w:rFonts w:hint="eastAsia"/>
        </w:rPr>
        <w:t>Generally speaking, it</w:t>
      </w:r>
      <w:r>
        <w:t>’</w:t>
      </w:r>
      <w:r>
        <w:rPr>
          <w:rFonts w:hint="eastAsia"/>
        </w:rPr>
        <w:t xml:space="preserve">s possible to configure the CHO execution condition(s) either by the source or the target. However, it should be noted that in the current specification, the </w:t>
      </w:r>
      <w:r>
        <w:rPr>
          <w:rFonts w:hint="eastAsia"/>
          <w:i/>
        </w:rPr>
        <w:t>MeasConfig</w:t>
      </w:r>
      <w:r>
        <w:rPr>
          <w:rFonts w:hint="eastAsia"/>
        </w:rPr>
        <w:t xml:space="preserve"> is configured by the source. So from this perspective, the simplest is to let the source cell configure the CHO execution condition(s). Otherwise, new procedures should be specified to let the target configure the CHO execution condition(s), e.g. based on the </w:t>
      </w:r>
      <w:r>
        <w:rPr>
          <w:rFonts w:hint="eastAsia"/>
          <w:i/>
          <w:iCs/>
        </w:rPr>
        <w:t xml:space="preserve">SourceMeasConfig </w:t>
      </w:r>
      <w:r>
        <w:rPr>
          <w:rFonts w:hint="eastAsia"/>
        </w:rPr>
        <w:t>transferred from the source, which is a substantially different model.</w:t>
      </w:r>
    </w:p>
    <w:p>
      <w:pPr>
        <w:rPr>
          <w:b/>
          <w:bCs/>
        </w:rPr>
      </w:pPr>
      <w:r>
        <w:rPr>
          <w:rFonts w:hint="eastAsia"/>
          <w:b/>
          <w:bCs/>
        </w:rPr>
        <w:t>Proposal 1: The CHO execution condition(s) included in the HO command type of message is generated by the source cell.</w:t>
      </w:r>
    </w:p>
    <w:p>
      <w:r>
        <w:rPr>
          <w:rFonts w:hint="eastAsia"/>
        </w:rPr>
        <w:t>O</w:t>
      </w:r>
      <w:r>
        <w:t>ne or more candidate cells</w:t>
      </w:r>
      <w:r>
        <w:rPr>
          <w:rFonts w:hint="eastAsia"/>
        </w:rPr>
        <w:t xml:space="preserve"> can be supported. Then it should be discussed whether single CHO execution condition(s) is configured for all the candidate cells or separate CHO execution condition(s) are configured for each individual candidate cells? Different candidate cells may have different radio condit</w:t>
      </w:r>
      <w:r>
        <w:t>i</w:t>
      </w:r>
      <w:r>
        <w:rPr>
          <w:rFonts w:hint="eastAsia"/>
        </w:rPr>
        <w:t>ons. So we should have the flexibility to allow the network to configure separate CHO execution condition(s) for each individual candidate cells.</w:t>
      </w:r>
    </w:p>
    <w:p>
      <w:pPr>
        <w:rPr>
          <w:b/>
          <w:bCs/>
        </w:rPr>
      </w:pPr>
      <w:bookmarkStart w:id="4" w:name="OLE_LINK3"/>
      <w:r>
        <w:rPr>
          <w:rFonts w:hint="eastAsia"/>
          <w:b/>
          <w:bCs/>
        </w:rPr>
        <w:t>Proposal 2: Separate CHO execution condition(s) can be configured for each individual candidate cells.</w:t>
      </w:r>
    </w:p>
    <w:bookmarkEnd w:id="4"/>
    <w:p>
      <w:r>
        <w:rPr>
          <w:rFonts w:hint="eastAsia"/>
        </w:rPr>
        <w:t xml:space="preserve">At RAN2#105bis, it is agreed that existing Ax measurement events can be used for executing CHO. However, up to now, it is unclear how to define a CHO execution condition, e.g. define by a reporting configuration, a measurement object, a measurement identity or any other format? In the legacy handover, the network makes a radio quality based handover </w:t>
      </w:r>
      <w:r>
        <w:t xml:space="preserve">decision </w:t>
      </w:r>
      <w:r>
        <w:rPr>
          <w:rFonts w:hint="eastAsia"/>
        </w:rPr>
        <w:t xml:space="preserve">based on the measurement report from the UE. While in CHO, the difference on this aspect is merely that once the CHO execution condition is met, the UE initiates handover to the target directly instead of sending the measurement report to the network and then waiting for the HO CMD from the network. So the simplest and straightforward </w:t>
      </w:r>
      <w:r>
        <w:t xml:space="preserve">is </w:t>
      </w:r>
      <w:r>
        <w:rPr>
          <w:rFonts w:hint="eastAsia"/>
        </w:rPr>
        <w:t>to define a CHO execution condition by the measurement identity, which identifies a measurement configuration via linking a measurement object and a reporting configuration.</w:t>
      </w:r>
    </w:p>
    <w:p>
      <w:pPr>
        <w:rPr>
          <w:b/>
          <w:bCs/>
        </w:rPr>
      </w:pPr>
      <w:r>
        <w:rPr>
          <w:b/>
          <w:bCs/>
        </w:rPr>
        <w:t xml:space="preserve">Proposal 3: Define a CHO execution condition by </w:t>
      </w:r>
      <w:r>
        <w:rPr>
          <w:rFonts w:hint="eastAsia"/>
          <w:b/>
          <w:bCs/>
        </w:rPr>
        <w:t>the</w:t>
      </w:r>
      <w:r>
        <w:rPr>
          <w:b/>
          <w:bCs/>
        </w:rPr>
        <w:t xml:space="preserve"> measurement identity</w:t>
      </w:r>
      <w:r>
        <w:rPr>
          <w:rFonts w:hint="eastAsia"/>
          <w:b/>
          <w:bCs/>
        </w:rPr>
        <w:t xml:space="preserve"> which identifies a measurement configuration.</w:t>
      </w:r>
    </w:p>
    <w:p>
      <w:r>
        <w:rPr>
          <w:rFonts w:hint="eastAsia"/>
        </w:rPr>
        <w:t>If proposal 3 is agreed, then the next question is whether only one single execution condition (i.e. one single measurement identity) or multiple execution conditions</w:t>
      </w:r>
      <w:r>
        <w:t xml:space="preserve"> </w:t>
      </w:r>
      <w:r>
        <w:rPr>
          <w:rFonts w:hint="eastAsia"/>
        </w:rPr>
        <w:t xml:space="preserve">(i.e. multiple measurement identities) can be configured for a single candidate cell? </w:t>
      </w:r>
    </w:p>
    <w:p>
      <w:r>
        <w:rPr>
          <w:rFonts w:hint="eastAsia"/>
        </w:rPr>
        <w:t>In our opinion, it would be beneficial to configure more than one CHO execution conditions for a single candidate cell in some situations. At RAN2#105bis, it is agreed that existing Ax measurement events can be used for executing CHO. So let</w:t>
      </w:r>
      <w:r>
        <w:t>’</w:t>
      </w:r>
      <w:r>
        <w:rPr>
          <w:rFonts w:hint="eastAsia"/>
        </w:rPr>
        <w:t>s take event A5 as an example, the network should be allowed to configure more than one execution conditions for a single candidate cell, e.g.:</w:t>
      </w:r>
    </w:p>
    <w:p>
      <w:pPr>
        <w:ind w:firstLine="420"/>
      </w:pPr>
      <w:r>
        <w:rPr>
          <w:rFonts w:hint="eastAsia"/>
        </w:rPr>
        <w:t xml:space="preserve">Condtion1 (A5 event with lower threshold for serving and neighbour): Thresh1 = -110; Thresh2 = -100; </w:t>
      </w:r>
    </w:p>
    <w:p>
      <w:pPr>
        <w:ind w:firstLine="420"/>
      </w:pPr>
      <w:r>
        <w:rPr>
          <w:rFonts w:hint="eastAsia"/>
        </w:rPr>
        <w:t>Condition2 (A5 event with higher threshold for serving and neighbour): Thresh1 = -100; Thresh2 = -90;</w:t>
      </w:r>
    </w:p>
    <w:p>
      <w:r>
        <w:rPr>
          <w:rFonts w:hint="eastAsia"/>
        </w:rPr>
        <w:t xml:space="preserve">With the above two conditions, </w:t>
      </w:r>
      <w:r>
        <w:t>typically</w:t>
      </w:r>
      <w:r>
        <w:rPr>
          <w:rFonts w:hint="eastAsia"/>
        </w:rPr>
        <w:t>, Conditional handover will be initiated when Condition2 is fulfilled. However, if the serving quality deteriorates dramatically, e.g. below -110 due to shadow or blockage etc</w:t>
      </w:r>
      <w:r>
        <w:t>.</w:t>
      </w:r>
      <w:r>
        <w:rPr>
          <w:rFonts w:hint="eastAsia"/>
        </w:rPr>
        <w:t xml:space="preserve">, while the candidate </w:t>
      </w:r>
      <w:r>
        <w:t>quality</w:t>
      </w:r>
      <w:r>
        <w:rPr>
          <w:rFonts w:hint="eastAsia"/>
        </w:rPr>
        <w:t xml:space="preserve"> is somehow good for camping, e.g. above -100, Condition1 is fulfilled and the UE can initiate handover to the candidate. RLF can be avoided in this particular case. </w:t>
      </w:r>
    </w:p>
    <w:p>
      <w:r>
        <w:rPr>
          <w:rFonts w:hint="eastAsia"/>
        </w:rPr>
        <w:t>In addition, during the email discussion for comparison of LTE and NR Conditional handover [1], a question was raised whether multiple trigger quantities are allowed for CHO execution condition. In the legacy handover procedure, the measurement report is only evaluated based on a single trigger quantity. The network indicates just one single trigger quantity (RSRP, RSRQ or RS-SINR) to use in the report configuration. In our opinion, there</w:t>
      </w:r>
      <w:r>
        <w:t>’</w:t>
      </w:r>
      <w:r>
        <w:rPr>
          <w:rFonts w:hint="eastAsia"/>
        </w:rPr>
        <w:t xml:space="preserve">s no strong justification to change the baseline of the current mechanism due to the introduction of Conditional handover. Configuration of multiple trigger quantities in the </w:t>
      </w:r>
      <w:r>
        <w:rPr>
          <w:i/>
          <w:iCs/>
        </w:rPr>
        <w:t>ReportConfig</w:t>
      </w:r>
      <w:r>
        <w:rPr>
          <w:rFonts w:hint="eastAsia"/>
          <w:i/>
          <w:iCs/>
        </w:rPr>
        <w:t xml:space="preserve"> </w:t>
      </w:r>
      <w:r>
        <w:rPr>
          <w:rFonts w:hint="eastAsia"/>
        </w:rPr>
        <w:t>(i.e. for a CHO execution condition)</w:t>
      </w:r>
      <w:r>
        <w:rPr>
          <w:i/>
          <w:iCs/>
        </w:rPr>
        <w:t xml:space="preserve"> </w:t>
      </w:r>
      <w:r>
        <w:rPr>
          <w:rFonts w:hint="eastAsia"/>
        </w:rPr>
        <w:t>would complicate the event evaluation behavior. In other words, only one single trigger quantity</w:t>
      </w:r>
      <w:r>
        <w:t xml:space="preserve"> </w:t>
      </w:r>
      <w:r>
        <w:rPr>
          <w:rFonts w:hint="eastAsia"/>
        </w:rPr>
        <w:t>(RSRP, RSRQ or RS-SINR) can be configured for a CHO execution condition. However, in a real network deployment, the network may wish to handover the UE to a neighbour cell when multiple quantities</w:t>
      </w:r>
      <w:r>
        <w:t xml:space="preserve"> </w:t>
      </w:r>
      <w:r>
        <w:rPr>
          <w:rFonts w:hint="eastAsia"/>
        </w:rPr>
        <w:t>(e.g. RSRP and RSRQ) of the neighbour cell are good enough. To facilitate such kind of operation, the network should be allowed to configure more than one execution conditions</w:t>
      </w:r>
      <w:r>
        <w:t xml:space="preserve"> </w:t>
      </w:r>
      <w:r>
        <w:rPr>
          <w:rFonts w:hint="eastAsia"/>
        </w:rPr>
        <w:t xml:space="preserve">(i.e. more than one </w:t>
      </w:r>
      <w:r>
        <w:rPr>
          <w:i/>
          <w:iCs/>
        </w:rPr>
        <w:t>measID</w:t>
      </w:r>
      <w:r>
        <w:rPr>
          <w:rFonts w:hint="eastAsia"/>
        </w:rPr>
        <w:t>) for a single candidate cell, e.g. one condition configured with trigger quantity RSRP and the other configured with trigger quantity RSRQ.</w:t>
      </w:r>
      <w:r>
        <w:t xml:space="preserve"> The UE accesses the candidate cell when both of the relevant conditions are met.</w:t>
      </w:r>
    </w:p>
    <w:p>
      <w:pPr>
        <w:rPr>
          <w:b/>
          <w:bCs/>
        </w:rPr>
      </w:pPr>
      <w:r>
        <w:rPr>
          <w:rFonts w:hint="eastAsia"/>
          <w:b/>
          <w:bCs/>
        </w:rPr>
        <w:t>Proposal 4: Only one single trigger quantity</w:t>
      </w:r>
      <w:r>
        <w:rPr>
          <w:b/>
          <w:bCs/>
        </w:rPr>
        <w:t xml:space="preserve"> </w:t>
      </w:r>
      <w:r>
        <w:rPr>
          <w:rFonts w:hint="eastAsia"/>
          <w:b/>
          <w:bCs/>
        </w:rPr>
        <w:t>(RSRP, RSRQ or RS-SINR) can be configured for a CHO execution condition.</w:t>
      </w:r>
    </w:p>
    <w:p>
      <w:pPr>
        <w:rPr>
          <w:b/>
          <w:bCs/>
        </w:rPr>
      </w:pPr>
      <w:r>
        <w:rPr>
          <w:rFonts w:hint="eastAsia"/>
          <w:b/>
          <w:bCs/>
        </w:rPr>
        <w:t>Proposal 5: Support configuring one or more CHO execution conditions for a single candidate cell.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configuration of CHO execution condition(s) with the following observations and proposals:</w:t>
      </w:r>
    </w:p>
    <w:p>
      <w:pPr>
        <w:rPr>
          <w:b/>
          <w:bCs/>
        </w:rPr>
      </w:pPr>
      <w:r>
        <w:rPr>
          <w:rFonts w:hint="eastAsia"/>
          <w:b/>
          <w:bCs/>
        </w:rPr>
        <w:t>Proposal 1: The CHO execution condition(s) included in the HO command type of message is generated by the source cell.</w:t>
      </w:r>
    </w:p>
    <w:p>
      <w:pPr>
        <w:rPr>
          <w:b/>
          <w:bCs/>
        </w:rPr>
      </w:pPr>
      <w:r>
        <w:rPr>
          <w:rFonts w:hint="eastAsia"/>
          <w:b/>
          <w:bCs/>
        </w:rPr>
        <w:t>Proposal 2: Separate CHO execution condition(s) can be configured for each individual candidate cells.</w:t>
      </w:r>
    </w:p>
    <w:p>
      <w:pPr>
        <w:rPr>
          <w:b/>
          <w:bCs/>
        </w:rPr>
      </w:pPr>
      <w:r>
        <w:rPr>
          <w:rFonts w:hint="eastAsia"/>
          <w:b/>
          <w:bCs/>
        </w:rPr>
        <w:t>Proposal 3: Define a CHO execution condition by the measurement identity which identifies a measurement configuration.</w:t>
      </w:r>
    </w:p>
    <w:p>
      <w:pPr>
        <w:rPr>
          <w:b/>
          <w:bCs/>
        </w:rPr>
      </w:pPr>
      <w:r>
        <w:rPr>
          <w:rFonts w:hint="eastAsia"/>
          <w:b/>
          <w:bCs/>
        </w:rPr>
        <w:t>Proposal 4: Only one single trigger quantity</w:t>
      </w:r>
      <w:r>
        <w:rPr>
          <w:b/>
          <w:bCs/>
        </w:rPr>
        <w:t xml:space="preserve"> </w:t>
      </w:r>
      <w:r>
        <w:rPr>
          <w:rFonts w:hint="eastAsia"/>
          <w:b/>
          <w:bCs/>
        </w:rPr>
        <w:t>(RSRP, RSRQ or RS-SINR) can be configured for a CHO execution condition.</w:t>
      </w:r>
    </w:p>
    <w:p>
      <w:r>
        <w:rPr>
          <w:rFonts w:hint="eastAsia"/>
          <w:b/>
          <w:bCs/>
        </w:rPr>
        <w:t>Proposal 5: Support configuring one or more CHO execution conditions for a single candidate cell.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5" w:name="OLE_LINK4"/>
      <w:r>
        <w:rPr>
          <w:rFonts w:hint="eastAsia" w:ascii="Arial" w:hAnsi="Arial" w:cs="Arial"/>
          <w:b w:val="0"/>
          <w:bCs w:val="0"/>
          <w:kern w:val="0"/>
          <w:sz w:val="32"/>
          <w:szCs w:val="36"/>
        </w:rPr>
        <w:t>Reference</w:t>
      </w:r>
    </w:p>
    <w:p>
      <w:r>
        <w:rPr>
          <w:rFonts w:hint="eastAsia"/>
        </w:rPr>
        <w:t>[1]. [105#58][NR/MOB] Comparison of LTE and NR Conditional handover (Intel)</w:t>
      </w:r>
    </w:p>
    <w:bookmarkEnd w:id="5"/>
    <w:p/>
    <w:p>
      <w:pPr>
        <w:rPr>
          <w:b/>
          <w:bCs/>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3DB4"/>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A3DBE"/>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2F80"/>
    <w:rsid w:val="00305358"/>
    <w:rsid w:val="00306338"/>
    <w:rsid w:val="0030650B"/>
    <w:rsid w:val="003112A7"/>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66E7"/>
    <w:rsid w:val="003577BE"/>
    <w:rsid w:val="00362FCF"/>
    <w:rsid w:val="0036468F"/>
    <w:rsid w:val="00366993"/>
    <w:rsid w:val="00370E0A"/>
    <w:rsid w:val="00371876"/>
    <w:rsid w:val="00372C00"/>
    <w:rsid w:val="003752D5"/>
    <w:rsid w:val="00382FAE"/>
    <w:rsid w:val="003832DC"/>
    <w:rsid w:val="0038426C"/>
    <w:rsid w:val="00384541"/>
    <w:rsid w:val="00385C87"/>
    <w:rsid w:val="00385DF0"/>
    <w:rsid w:val="00387F14"/>
    <w:rsid w:val="00391402"/>
    <w:rsid w:val="00391F87"/>
    <w:rsid w:val="00393338"/>
    <w:rsid w:val="0039487A"/>
    <w:rsid w:val="00394979"/>
    <w:rsid w:val="00394FC5"/>
    <w:rsid w:val="00395D56"/>
    <w:rsid w:val="00396952"/>
    <w:rsid w:val="00396B4A"/>
    <w:rsid w:val="003A150D"/>
    <w:rsid w:val="003A2A06"/>
    <w:rsid w:val="003A390E"/>
    <w:rsid w:val="003A3ACC"/>
    <w:rsid w:val="003A4C78"/>
    <w:rsid w:val="003A52E1"/>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2DEC"/>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37D92"/>
    <w:rsid w:val="00441EB5"/>
    <w:rsid w:val="0044341B"/>
    <w:rsid w:val="00443D84"/>
    <w:rsid w:val="00444F7D"/>
    <w:rsid w:val="00445007"/>
    <w:rsid w:val="00446A9B"/>
    <w:rsid w:val="00446C63"/>
    <w:rsid w:val="00453750"/>
    <w:rsid w:val="00456668"/>
    <w:rsid w:val="0046088D"/>
    <w:rsid w:val="00460FF4"/>
    <w:rsid w:val="00462F02"/>
    <w:rsid w:val="00466EDC"/>
    <w:rsid w:val="00467368"/>
    <w:rsid w:val="00467D25"/>
    <w:rsid w:val="00470697"/>
    <w:rsid w:val="00473276"/>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1510"/>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4F7FBF"/>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54F5"/>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0E26"/>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4D09"/>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778"/>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272B"/>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68B5"/>
    <w:rsid w:val="008E705E"/>
    <w:rsid w:val="008E7AC9"/>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46FD6"/>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3EF8"/>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4D6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45C63"/>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87F7B"/>
    <w:rsid w:val="00B909E8"/>
    <w:rsid w:val="00B928EE"/>
    <w:rsid w:val="00B92AD5"/>
    <w:rsid w:val="00B94BA4"/>
    <w:rsid w:val="00B97CDC"/>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8C6"/>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DF5F27"/>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3D0F"/>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313D"/>
    <w:rsid w:val="00EE5769"/>
    <w:rsid w:val="00EE5CA6"/>
    <w:rsid w:val="00EE6916"/>
    <w:rsid w:val="00EF1335"/>
    <w:rsid w:val="00EF1557"/>
    <w:rsid w:val="00EF49EB"/>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31166"/>
    <w:rsid w:val="011C2BE7"/>
    <w:rsid w:val="01415FEB"/>
    <w:rsid w:val="01502503"/>
    <w:rsid w:val="015551ED"/>
    <w:rsid w:val="016210DF"/>
    <w:rsid w:val="016E3B27"/>
    <w:rsid w:val="01767489"/>
    <w:rsid w:val="01814DA8"/>
    <w:rsid w:val="0185508D"/>
    <w:rsid w:val="01910DD3"/>
    <w:rsid w:val="01920B2D"/>
    <w:rsid w:val="01943782"/>
    <w:rsid w:val="01977F6A"/>
    <w:rsid w:val="01A5265A"/>
    <w:rsid w:val="01AC40BD"/>
    <w:rsid w:val="01AE3B73"/>
    <w:rsid w:val="01B13560"/>
    <w:rsid w:val="01BE26E7"/>
    <w:rsid w:val="01C05D49"/>
    <w:rsid w:val="01C66A3F"/>
    <w:rsid w:val="02017286"/>
    <w:rsid w:val="0212463B"/>
    <w:rsid w:val="02142423"/>
    <w:rsid w:val="022D295E"/>
    <w:rsid w:val="02480934"/>
    <w:rsid w:val="024A4AC8"/>
    <w:rsid w:val="02657A19"/>
    <w:rsid w:val="02664651"/>
    <w:rsid w:val="02737CFE"/>
    <w:rsid w:val="027944E3"/>
    <w:rsid w:val="02825D7D"/>
    <w:rsid w:val="028624FF"/>
    <w:rsid w:val="028A67A0"/>
    <w:rsid w:val="028B3E82"/>
    <w:rsid w:val="0293518F"/>
    <w:rsid w:val="0297259A"/>
    <w:rsid w:val="029B7388"/>
    <w:rsid w:val="029C0A9A"/>
    <w:rsid w:val="02BA02BA"/>
    <w:rsid w:val="02C62E55"/>
    <w:rsid w:val="02E712F2"/>
    <w:rsid w:val="02E968F1"/>
    <w:rsid w:val="03146511"/>
    <w:rsid w:val="03202434"/>
    <w:rsid w:val="0347521D"/>
    <w:rsid w:val="035B5483"/>
    <w:rsid w:val="036C3B3B"/>
    <w:rsid w:val="037175E3"/>
    <w:rsid w:val="03857386"/>
    <w:rsid w:val="03892EFE"/>
    <w:rsid w:val="038C5C10"/>
    <w:rsid w:val="039A2405"/>
    <w:rsid w:val="03BD31AF"/>
    <w:rsid w:val="03BE00C0"/>
    <w:rsid w:val="03D52450"/>
    <w:rsid w:val="03E9137F"/>
    <w:rsid w:val="03EC1D7B"/>
    <w:rsid w:val="03EE0B6E"/>
    <w:rsid w:val="03F148CD"/>
    <w:rsid w:val="03FE0DFE"/>
    <w:rsid w:val="04067142"/>
    <w:rsid w:val="04125DC8"/>
    <w:rsid w:val="041C2081"/>
    <w:rsid w:val="043E7F06"/>
    <w:rsid w:val="04447783"/>
    <w:rsid w:val="04456CA0"/>
    <w:rsid w:val="0451320B"/>
    <w:rsid w:val="045763FA"/>
    <w:rsid w:val="04754B65"/>
    <w:rsid w:val="047B13BE"/>
    <w:rsid w:val="0484501B"/>
    <w:rsid w:val="048A123B"/>
    <w:rsid w:val="04996B65"/>
    <w:rsid w:val="049D22F2"/>
    <w:rsid w:val="04EB5671"/>
    <w:rsid w:val="04ED36E0"/>
    <w:rsid w:val="04F82C22"/>
    <w:rsid w:val="04FB5FD2"/>
    <w:rsid w:val="050C31AF"/>
    <w:rsid w:val="05174168"/>
    <w:rsid w:val="051E36E6"/>
    <w:rsid w:val="05332C41"/>
    <w:rsid w:val="054955C4"/>
    <w:rsid w:val="054C7D3F"/>
    <w:rsid w:val="054D4214"/>
    <w:rsid w:val="05526E77"/>
    <w:rsid w:val="056D39BD"/>
    <w:rsid w:val="056F4163"/>
    <w:rsid w:val="058267E3"/>
    <w:rsid w:val="058442CB"/>
    <w:rsid w:val="05B21BDC"/>
    <w:rsid w:val="05D1713F"/>
    <w:rsid w:val="05E024B6"/>
    <w:rsid w:val="05F13BE9"/>
    <w:rsid w:val="05F178AC"/>
    <w:rsid w:val="06022874"/>
    <w:rsid w:val="060A555D"/>
    <w:rsid w:val="06136726"/>
    <w:rsid w:val="062771C4"/>
    <w:rsid w:val="06406186"/>
    <w:rsid w:val="06577E85"/>
    <w:rsid w:val="066F0DC7"/>
    <w:rsid w:val="067F0396"/>
    <w:rsid w:val="068B29B2"/>
    <w:rsid w:val="069621D1"/>
    <w:rsid w:val="06AF5E97"/>
    <w:rsid w:val="06BB3C62"/>
    <w:rsid w:val="06D97CA7"/>
    <w:rsid w:val="06EE5F3A"/>
    <w:rsid w:val="06F90F74"/>
    <w:rsid w:val="06FC5420"/>
    <w:rsid w:val="06FE56CC"/>
    <w:rsid w:val="07056544"/>
    <w:rsid w:val="0706413A"/>
    <w:rsid w:val="071E610B"/>
    <w:rsid w:val="07225AA9"/>
    <w:rsid w:val="07387A0E"/>
    <w:rsid w:val="07505A8A"/>
    <w:rsid w:val="075926F1"/>
    <w:rsid w:val="07625AB8"/>
    <w:rsid w:val="078158EA"/>
    <w:rsid w:val="07843668"/>
    <w:rsid w:val="079368A6"/>
    <w:rsid w:val="07B47F2F"/>
    <w:rsid w:val="07BE2890"/>
    <w:rsid w:val="07C4242C"/>
    <w:rsid w:val="07C84D70"/>
    <w:rsid w:val="07E121C2"/>
    <w:rsid w:val="07F50292"/>
    <w:rsid w:val="08116D8C"/>
    <w:rsid w:val="083A205A"/>
    <w:rsid w:val="083E7D1C"/>
    <w:rsid w:val="083F69AD"/>
    <w:rsid w:val="08555405"/>
    <w:rsid w:val="08561FA2"/>
    <w:rsid w:val="086334CF"/>
    <w:rsid w:val="08690BF0"/>
    <w:rsid w:val="08896E68"/>
    <w:rsid w:val="089E1AEE"/>
    <w:rsid w:val="08A1177C"/>
    <w:rsid w:val="08B02DDD"/>
    <w:rsid w:val="08BB6EAC"/>
    <w:rsid w:val="08CA2035"/>
    <w:rsid w:val="08CC5B58"/>
    <w:rsid w:val="08E33A5D"/>
    <w:rsid w:val="08EA1C68"/>
    <w:rsid w:val="08F22BC2"/>
    <w:rsid w:val="08F54145"/>
    <w:rsid w:val="08FC7AC7"/>
    <w:rsid w:val="09065647"/>
    <w:rsid w:val="090968DC"/>
    <w:rsid w:val="091002F5"/>
    <w:rsid w:val="0915066C"/>
    <w:rsid w:val="09330B6E"/>
    <w:rsid w:val="093E5899"/>
    <w:rsid w:val="094311F4"/>
    <w:rsid w:val="094F257F"/>
    <w:rsid w:val="0959473F"/>
    <w:rsid w:val="096D227C"/>
    <w:rsid w:val="0980678C"/>
    <w:rsid w:val="098246C4"/>
    <w:rsid w:val="09A955D3"/>
    <w:rsid w:val="09B81315"/>
    <w:rsid w:val="09C068A5"/>
    <w:rsid w:val="09C1228B"/>
    <w:rsid w:val="09CA0AC6"/>
    <w:rsid w:val="09D50EC2"/>
    <w:rsid w:val="09F546E9"/>
    <w:rsid w:val="09F7192D"/>
    <w:rsid w:val="09FD4DBD"/>
    <w:rsid w:val="0A090AAC"/>
    <w:rsid w:val="0A2E5DB1"/>
    <w:rsid w:val="0A2F46DB"/>
    <w:rsid w:val="0A337541"/>
    <w:rsid w:val="0A386426"/>
    <w:rsid w:val="0A4E1BB6"/>
    <w:rsid w:val="0A5C2E75"/>
    <w:rsid w:val="0A6614C9"/>
    <w:rsid w:val="0A664AD3"/>
    <w:rsid w:val="0A6C60B4"/>
    <w:rsid w:val="0A7D07DB"/>
    <w:rsid w:val="0A97216E"/>
    <w:rsid w:val="0A9C11D4"/>
    <w:rsid w:val="0AA5549A"/>
    <w:rsid w:val="0AAE3C34"/>
    <w:rsid w:val="0AB57D41"/>
    <w:rsid w:val="0ABF5314"/>
    <w:rsid w:val="0AF957A7"/>
    <w:rsid w:val="0B104C80"/>
    <w:rsid w:val="0B107193"/>
    <w:rsid w:val="0B1537E9"/>
    <w:rsid w:val="0B165160"/>
    <w:rsid w:val="0B1B0258"/>
    <w:rsid w:val="0B224A88"/>
    <w:rsid w:val="0B2F0F25"/>
    <w:rsid w:val="0B2F5449"/>
    <w:rsid w:val="0B3A6177"/>
    <w:rsid w:val="0B542366"/>
    <w:rsid w:val="0B5841D8"/>
    <w:rsid w:val="0B625907"/>
    <w:rsid w:val="0B6D671D"/>
    <w:rsid w:val="0B800594"/>
    <w:rsid w:val="0B833CB9"/>
    <w:rsid w:val="0B8459A2"/>
    <w:rsid w:val="0BB56C12"/>
    <w:rsid w:val="0BB77542"/>
    <w:rsid w:val="0BC1136C"/>
    <w:rsid w:val="0BC87CC9"/>
    <w:rsid w:val="0BD9718B"/>
    <w:rsid w:val="0BEB698D"/>
    <w:rsid w:val="0BF4523A"/>
    <w:rsid w:val="0C022CD6"/>
    <w:rsid w:val="0C21687B"/>
    <w:rsid w:val="0C221921"/>
    <w:rsid w:val="0C2B7B6C"/>
    <w:rsid w:val="0C32261C"/>
    <w:rsid w:val="0C35257F"/>
    <w:rsid w:val="0C506B99"/>
    <w:rsid w:val="0C5C4277"/>
    <w:rsid w:val="0C70637B"/>
    <w:rsid w:val="0C710975"/>
    <w:rsid w:val="0C7A6655"/>
    <w:rsid w:val="0CB5613D"/>
    <w:rsid w:val="0CCE60AE"/>
    <w:rsid w:val="0CE2368A"/>
    <w:rsid w:val="0CE55396"/>
    <w:rsid w:val="0CF31DF7"/>
    <w:rsid w:val="0D247472"/>
    <w:rsid w:val="0D2C3BFA"/>
    <w:rsid w:val="0D3839A4"/>
    <w:rsid w:val="0D4618D1"/>
    <w:rsid w:val="0D5412D9"/>
    <w:rsid w:val="0D563E1D"/>
    <w:rsid w:val="0D5D28E6"/>
    <w:rsid w:val="0D6D666D"/>
    <w:rsid w:val="0D7545AF"/>
    <w:rsid w:val="0D823563"/>
    <w:rsid w:val="0D8C2318"/>
    <w:rsid w:val="0D9F62EE"/>
    <w:rsid w:val="0DB83232"/>
    <w:rsid w:val="0DBC5333"/>
    <w:rsid w:val="0DBE49F8"/>
    <w:rsid w:val="0DBF18EC"/>
    <w:rsid w:val="0DC96810"/>
    <w:rsid w:val="0DD11D57"/>
    <w:rsid w:val="0DE7427C"/>
    <w:rsid w:val="0DED07C4"/>
    <w:rsid w:val="0DF005A9"/>
    <w:rsid w:val="0DFE5905"/>
    <w:rsid w:val="0E022856"/>
    <w:rsid w:val="0E0B52D7"/>
    <w:rsid w:val="0E104D98"/>
    <w:rsid w:val="0E1369CD"/>
    <w:rsid w:val="0E28192B"/>
    <w:rsid w:val="0E2F597F"/>
    <w:rsid w:val="0E37108C"/>
    <w:rsid w:val="0E4D26CC"/>
    <w:rsid w:val="0E4E3593"/>
    <w:rsid w:val="0E560EFD"/>
    <w:rsid w:val="0E6A01E6"/>
    <w:rsid w:val="0E8C09CF"/>
    <w:rsid w:val="0E8D03D6"/>
    <w:rsid w:val="0E930DC4"/>
    <w:rsid w:val="0EC509E4"/>
    <w:rsid w:val="0ED4677A"/>
    <w:rsid w:val="0ED64E1A"/>
    <w:rsid w:val="0EDA25E0"/>
    <w:rsid w:val="0EDC06F9"/>
    <w:rsid w:val="0EE1071D"/>
    <w:rsid w:val="0EEF02A7"/>
    <w:rsid w:val="0EF05D44"/>
    <w:rsid w:val="0EFF4DCA"/>
    <w:rsid w:val="0F0869CE"/>
    <w:rsid w:val="0F0F0B31"/>
    <w:rsid w:val="0F13714E"/>
    <w:rsid w:val="0F181CEC"/>
    <w:rsid w:val="0F1B123C"/>
    <w:rsid w:val="0F217358"/>
    <w:rsid w:val="0F2532AC"/>
    <w:rsid w:val="0F3D7225"/>
    <w:rsid w:val="0F4A1CDE"/>
    <w:rsid w:val="0F557405"/>
    <w:rsid w:val="0F5626C1"/>
    <w:rsid w:val="0F63349B"/>
    <w:rsid w:val="0F634273"/>
    <w:rsid w:val="0F790B07"/>
    <w:rsid w:val="0F7F7301"/>
    <w:rsid w:val="0F847A92"/>
    <w:rsid w:val="0F99304D"/>
    <w:rsid w:val="0FBF7F6A"/>
    <w:rsid w:val="0FC81FA0"/>
    <w:rsid w:val="0FD9758C"/>
    <w:rsid w:val="0FDD3ABD"/>
    <w:rsid w:val="0FDD41C9"/>
    <w:rsid w:val="0FF3697B"/>
    <w:rsid w:val="0FF512AD"/>
    <w:rsid w:val="0FFB789C"/>
    <w:rsid w:val="10144ACE"/>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D80BBB"/>
    <w:rsid w:val="10DC7FF8"/>
    <w:rsid w:val="10ED5185"/>
    <w:rsid w:val="110651DD"/>
    <w:rsid w:val="11186F4B"/>
    <w:rsid w:val="112A395D"/>
    <w:rsid w:val="114E07E1"/>
    <w:rsid w:val="116C5EAE"/>
    <w:rsid w:val="116D1EE5"/>
    <w:rsid w:val="11846A35"/>
    <w:rsid w:val="118D68C4"/>
    <w:rsid w:val="11941E54"/>
    <w:rsid w:val="11953B1A"/>
    <w:rsid w:val="11965A2F"/>
    <w:rsid w:val="11A52536"/>
    <w:rsid w:val="11CF6BAC"/>
    <w:rsid w:val="11DB1A57"/>
    <w:rsid w:val="11F33AF7"/>
    <w:rsid w:val="121264F9"/>
    <w:rsid w:val="12164442"/>
    <w:rsid w:val="121E625C"/>
    <w:rsid w:val="12205607"/>
    <w:rsid w:val="12214918"/>
    <w:rsid w:val="122350B5"/>
    <w:rsid w:val="12380673"/>
    <w:rsid w:val="12437EEC"/>
    <w:rsid w:val="12475C1E"/>
    <w:rsid w:val="1281311E"/>
    <w:rsid w:val="129137BD"/>
    <w:rsid w:val="1297611E"/>
    <w:rsid w:val="12AB4AA1"/>
    <w:rsid w:val="12C15487"/>
    <w:rsid w:val="12EC0ED3"/>
    <w:rsid w:val="12EF741A"/>
    <w:rsid w:val="12F254D0"/>
    <w:rsid w:val="12FE42D6"/>
    <w:rsid w:val="131C3CE3"/>
    <w:rsid w:val="13575276"/>
    <w:rsid w:val="1357555E"/>
    <w:rsid w:val="136345D4"/>
    <w:rsid w:val="1365208E"/>
    <w:rsid w:val="136C1339"/>
    <w:rsid w:val="137C093B"/>
    <w:rsid w:val="137C409F"/>
    <w:rsid w:val="1396509F"/>
    <w:rsid w:val="139D0995"/>
    <w:rsid w:val="13AE3872"/>
    <w:rsid w:val="13B567C3"/>
    <w:rsid w:val="13C54390"/>
    <w:rsid w:val="13D94098"/>
    <w:rsid w:val="13DD35D9"/>
    <w:rsid w:val="13DE29AA"/>
    <w:rsid w:val="13ED1CD8"/>
    <w:rsid w:val="13F54FCF"/>
    <w:rsid w:val="13FF2E83"/>
    <w:rsid w:val="140300D1"/>
    <w:rsid w:val="141C2EE7"/>
    <w:rsid w:val="141E2D74"/>
    <w:rsid w:val="142C38AD"/>
    <w:rsid w:val="143678DB"/>
    <w:rsid w:val="14506187"/>
    <w:rsid w:val="145449A3"/>
    <w:rsid w:val="145E6F86"/>
    <w:rsid w:val="1469608F"/>
    <w:rsid w:val="1474522A"/>
    <w:rsid w:val="14951DEA"/>
    <w:rsid w:val="14AD5F48"/>
    <w:rsid w:val="14AE35FC"/>
    <w:rsid w:val="14CF6DDE"/>
    <w:rsid w:val="14D601A3"/>
    <w:rsid w:val="14E070B2"/>
    <w:rsid w:val="14E24A2F"/>
    <w:rsid w:val="14E44113"/>
    <w:rsid w:val="14EA55B7"/>
    <w:rsid w:val="150E4907"/>
    <w:rsid w:val="153D235D"/>
    <w:rsid w:val="154821B7"/>
    <w:rsid w:val="154A1648"/>
    <w:rsid w:val="155810A4"/>
    <w:rsid w:val="155C65AE"/>
    <w:rsid w:val="156A61CE"/>
    <w:rsid w:val="156F3E1F"/>
    <w:rsid w:val="156F44D4"/>
    <w:rsid w:val="15704529"/>
    <w:rsid w:val="15715B51"/>
    <w:rsid w:val="15823994"/>
    <w:rsid w:val="15947046"/>
    <w:rsid w:val="15951987"/>
    <w:rsid w:val="15B72752"/>
    <w:rsid w:val="15BA166F"/>
    <w:rsid w:val="15C72685"/>
    <w:rsid w:val="15C828CD"/>
    <w:rsid w:val="15CB3F81"/>
    <w:rsid w:val="15F154FC"/>
    <w:rsid w:val="15F4371E"/>
    <w:rsid w:val="160F2C35"/>
    <w:rsid w:val="16203964"/>
    <w:rsid w:val="16314D23"/>
    <w:rsid w:val="16545026"/>
    <w:rsid w:val="16620331"/>
    <w:rsid w:val="16657E45"/>
    <w:rsid w:val="1669545E"/>
    <w:rsid w:val="16704C85"/>
    <w:rsid w:val="16744071"/>
    <w:rsid w:val="167C5BDC"/>
    <w:rsid w:val="1680645E"/>
    <w:rsid w:val="168821FC"/>
    <w:rsid w:val="169612D1"/>
    <w:rsid w:val="16963AD5"/>
    <w:rsid w:val="16A137C5"/>
    <w:rsid w:val="16A21F5B"/>
    <w:rsid w:val="16BE1D19"/>
    <w:rsid w:val="16DF2B07"/>
    <w:rsid w:val="16E7282C"/>
    <w:rsid w:val="16EE40F6"/>
    <w:rsid w:val="16FE3110"/>
    <w:rsid w:val="17026F10"/>
    <w:rsid w:val="17077D91"/>
    <w:rsid w:val="17275E00"/>
    <w:rsid w:val="17380DC9"/>
    <w:rsid w:val="17432E41"/>
    <w:rsid w:val="1744428E"/>
    <w:rsid w:val="17476824"/>
    <w:rsid w:val="174B3A7D"/>
    <w:rsid w:val="175454DC"/>
    <w:rsid w:val="17636FAF"/>
    <w:rsid w:val="177761B3"/>
    <w:rsid w:val="178D2C84"/>
    <w:rsid w:val="178D7F71"/>
    <w:rsid w:val="1798189B"/>
    <w:rsid w:val="179E7495"/>
    <w:rsid w:val="17A026E1"/>
    <w:rsid w:val="17AB2B97"/>
    <w:rsid w:val="17CE580D"/>
    <w:rsid w:val="17FF4999"/>
    <w:rsid w:val="18170776"/>
    <w:rsid w:val="182B4F94"/>
    <w:rsid w:val="18641C3D"/>
    <w:rsid w:val="1867487B"/>
    <w:rsid w:val="18695C89"/>
    <w:rsid w:val="18696520"/>
    <w:rsid w:val="18764199"/>
    <w:rsid w:val="18786E06"/>
    <w:rsid w:val="188726D4"/>
    <w:rsid w:val="188F07C9"/>
    <w:rsid w:val="189C51CA"/>
    <w:rsid w:val="18A459CA"/>
    <w:rsid w:val="18A66233"/>
    <w:rsid w:val="18B22B5C"/>
    <w:rsid w:val="18B32649"/>
    <w:rsid w:val="18B84CB0"/>
    <w:rsid w:val="18C605BC"/>
    <w:rsid w:val="18DE1AEB"/>
    <w:rsid w:val="18F56338"/>
    <w:rsid w:val="18FC34F8"/>
    <w:rsid w:val="19090872"/>
    <w:rsid w:val="190C0ABD"/>
    <w:rsid w:val="19200A35"/>
    <w:rsid w:val="192141D8"/>
    <w:rsid w:val="19275A99"/>
    <w:rsid w:val="19352F90"/>
    <w:rsid w:val="194452C6"/>
    <w:rsid w:val="19447EB2"/>
    <w:rsid w:val="19471E13"/>
    <w:rsid w:val="194E56C4"/>
    <w:rsid w:val="19684F1E"/>
    <w:rsid w:val="19B56E5D"/>
    <w:rsid w:val="19BD310F"/>
    <w:rsid w:val="19CB397F"/>
    <w:rsid w:val="19D74D72"/>
    <w:rsid w:val="19E402AD"/>
    <w:rsid w:val="19EA15B3"/>
    <w:rsid w:val="19F409C8"/>
    <w:rsid w:val="19F5126C"/>
    <w:rsid w:val="19FA1601"/>
    <w:rsid w:val="19FC4936"/>
    <w:rsid w:val="1A4F26CC"/>
    <w:rsid w:val="1A55310A"/>
    <w:rsid w:val="1A7C32FF"/>
    <w:rsid w:val="1A80010B"/>
    <w:rsid w:val="1A855ADA"/>
    <w:rsid w:val="1A91794A"/>
    <w:rsid w:val="1A9E713F"/>
    <w:rsid w:val="1AA1145C"/>
    <w:rsid w:val="1AAD30FA"/>
    <w:rsid w:val="1AB13940"/>
    <w:rsid w:val="1ABA705B"/>
    <w:rsid w:val="1AC97242"/>
    <w:rsid w:val="1ACF27B9"/>
    <w:rsid w:val="1AD27A8D"/>
    <w:rsid w:val="1AD41D2D"/>
    <w:rsid w:val="1AD7515E"/>
    <w:rsid w:val="1AE93C9B"/>
    <w:rsid w:val="1AF21DA7"/>
    <w:rsid w:val="1B047634"/>
    <w:rsid w:val="1B08617F"/>
    <w:rsid w:val="1B0D614B"/>
    <w:rsid w:val="1B47772F"/>
    <w:rsid w:val="1B50538E"/>
    <w:rsid w:val="1B5322E9"/>
    <w:rsid w:val="1B607248"/>
    <w:rsid w:val="1B693EA3"/>
    <w:rsid w:val="1B6B1131"/>
    <w:rsid w:val="1B6C25E8"/>
    <w:rsid w:val="1B741476"/>
    <w:rsid w:val="1B793426"/>
    <w:rsid w:val="1B801536"/>
    <w:rsid w:val="1B8A2061"/>
    <w:rsid w:val="1BAA2BCF"/>
    <w:rsid w:val="1BD925D2"/>
    <w:rsid w:val="1BEC42F5"/>
    <w:rsid w:val="1BF54967"/>
    <w:rsid w:val="1BFA0C60"/>
    <w:rsid w:val="1C076C7C"/>
    <w:rsid w:val="1C161A83"/>
    <w:rsid w:val="1C1C4D13"/>
    <w:rsid w:val="1C296C3D"/>
    <w:rsid w:val="1C2F2E6F"/>
    <w:rsid w:val="1C512779"/>
    <w:rsid w:val="1C6575F7"/>
    <w:rsid w:val="1C762823"/>
    <w:rsid w:val="1C7802BE"/>
    <w:rsid w:val="1C804FFC"/>
    <w:rsid w:val="1C811EBE"/>
    <w:rsid w:val="1C8D3996"/>
    <w:rsid w:val="1C9C1BE4"/>
    <w:rsid w:val="1CAF18A4"/>
    <w:rsid w:val="1CBA342B"/>
    <w:rsid w:val="1CC04946"/>
    <w:rsid w:val="1CC400CD"/>
    <w:rsid w:val="1CCA7433"/>
    <w:rsid w:val="1CCE78A2"/>
    <w:rsid w:val="1CDC087A"/>
    <w:rsid w:val="1CFB474C"/>
    <w:rsid w:val="1D110690"/>
    <w:rsid w:val="1D1D0996"/>
    <w:rsid w:val="1D2C43C8"/>
    <w:rsid w:val="1D335855"/>
    <w:rsid w:val="1D3507AD"/>
    <w:rsid w:val="1D672774"/>
    <w:rsid w:val="1D6747F5"/>
    <w:rsid w:val="1D7B7BDF"/>
    <w:rsid w:val="1D812F92"/>
    <w:rsid w:val="1D850034"/>
    <w:rsid w:val="1D8B6EC0"/>
    <w:rsid w:val="1DA70EBB"/>
    <w:rsid w:val="1DC43BC4"/>
    <w:rsid w:val="1DCC34E5"/>
    <w:rsid w:val="1DDE47B5"/>
    <w:rsid w:val="1DFD5D66"/>
    <w:rsid w:val="1E1C0F23"/>
    <w:rsid w:val="1E1D3350"/>
    <w:rsid w:val="1E2D3856"/>
    <w:rsid w:val="1E2E6394"/>
    <w:rsid w:val="1E4C7C99"/>
    <w:rsid w:val="1E595A5F"/>
    <w:rsid w:val="1E636A3D"/>
    <w:rsid w:val="1E721FE6"/>
    <w:rsid w:val="1E783ED7"/>
    <w:rsid w:val="1E842EE0"/>
    <w:rsid w:val="1EA5131C"/>
    <w:rsid w:val="1EAC0652"/>
    <w:rsid w:val="1EC012AB"/>
    <w:rsid w:val="1EC97015"/>
    <w:rsid w:val="1ED25FFE"/>
    <w:rsid w:val="1EE16ED9"/>
    <w:rsid w:val="1EF9197A"/>
    <w:rsid w:val="1F1E5DB2"/>
    <w:rsid w:val="1F2D7AB7"/>
    <w:rsid w:val="1F3A29C4"/>
    <w:rsid w:val="1F3C203A"/>
    <w:rsid w:val="1F414DA0"/>
    <w:rsid w:val="1F4154A3"/>
    <w:rsid w:val="1F495793"/>
    <w:rsid w:val="1F4F31D2"/>
    <w:rsid w:val="1FA042BC"/>
    <w:rsid w:val="1FD40EF0"/>
    <w:rsid w:val="1FDE1119"/>
    <w:rsid w:val="1FDE5CF0"/>
    <w:rsid w:val="1FF63782"/>
    <w:rsid w:val="20055D8E"/>
    <w:rsid w:val="200C64A4"/>
    <w:rsid w:val="2010595F"/>
    <w:rsid w:val="20175A9F"/>
    <w:rsid w:val="204A3E68"/>
    <w:rsid w:val="204E2B4B"/>
    <w:rsid w:val="204F627F"/>
    <w:rsid w:val="20577738"/>
    <w:rsid w:val="205B6F25"/>
    <w:rsid w:val="206E2E6F"/>
    <w:rsid w:val="20867893"/>
    <w:rsid w:val="209F40C4"/>
    <w:rsid w:val="20A523F4"/>
    <w:rsid w:val="20C12912"/>
    <w:rsid w:val="20D95613"/>
    <w:rsid w:val="20DB6833"/>
    <w:rsid w:val="20FA1C1F"/>
    <w:rsid w:val="20FC1399"/>
    <w:rsid w:val="20FD01AB"/>
    <w:rsid w:val="21090BEB"/>
    <w:rsid w:val="2112563D"/>
    <w:rsid w:val="21133D9A"/>
    <w:rsid w:val="212D6E70"/>
    <w:rsid w:val="212E7623"/>
    <w:rsid w:val="21325170"/>
    <w:rsid w:val="21330CE9"/>
    <w:rsid w:val="213C4E2F"/>
    <w:rsid w:val="213D0E8C"/>
    <w:rsid w:val="2140662B"/>
    <w:rsid w:val="215A2AFE"/>
    <w:rsid w:val="217228C9"/>
    <w:rsid w:val="217B65D4"/>
    <w:rsid w:val="21926F6C"/>
    <w:rsid w:val="21936236"/>
    <w:rsid w:val="219467FA"/>
    <w:rsid w:val="21A71340"/>
    <w:rsid w:val="21B13AA1"/>
    <w:rsid w:val="21B24080"/>
    <w:rsid w:val="21D061B3"/>
    <w:rsid w:val="21D24CF4"/>
    <w:rsid w:val="21D721E8"/>
    <w:rsid w:val="21FA7C76"/>
    <w:rsid w:val="21FB378E"/>
    <w:rsid w:val="221122B7"/>
    <w:rsid w:val="221335D5"/>
    <w:rsid w:val="223F2906"/>
    <w:rsid w:val="22460F19"/>
    <w:rsid w:val="226F2366"/>
    <w:rsid w:val="227167CA"/>
    <w:rsid w:val="22805B8B"/>
    <w:rsid w:val="228135D1"/>
    <w:rsid w:val="2281465F"/>
    <w:rsid w:val="22997237"/>
    <w:rsid w:val="22A13519"/>
    <w:rsid w:val="22C54E5E"/>
    <w:rsid w:val="22CB1725"/>
    <w:rsid w:val="22CD57C2"/>
    <w:rsid w:val="22F94667"/>
    <w:rsid w:val="22FC1280"/>
    <w:rsid w:val="23001A71"/>
    <w:rsid w:val="23050ED0"/>
    <w:rsid w:val="23057C2E"/>
    <w:rsid w:val="230A06F1"/>
    <w:rsid w:val="231405B8"/>
    <w:rsid w:val="23153F50"/>
    <w:rsid w:val="2335341D"/>
    <w:rsid w:val="233B6DCC"/>
    <w:rsid w:val="233F2E83"/>
    <w:rsid w:val="234B4184"/>
    <w:rsid w:val="234F75EF"/>
    <w:rsid w:val="23506762"/>
    <w:rsid w:val="23557637"/>
    <w:rsid w:val="23666256"/>
    <w:rsid w:val="23691369"/>
    <w:rsid w:val="236E3562"/>
    <w:rsid w:val="23722CB0"/>
    <w:rsid w:val="238C2CA1"/>
    <w:rsid w:val="238F69CD"/>
    <w:rsid w:val="2397196E"/>
    <w:rsid w:val="23AC7988"/>
    <w:rsid w:val="23C13227"/>
    <w:rsid w:val="23CE6D8D"/>
    <w:rsid w:val="23CE7EFA"/>
    <w:rsid w:val="23DB66E2"/>
    <w:rsid w:val="23DD1DFA"/>
    <w:rsid w:val="23EB5CB5"/>
    <w:rsid w:val="23F00831"/>
    <w:rsid w:val="23FF6960"/>
    <w:rsid w:val="24044AAD"/>
    <w:rsid w:val="24244378"/>
    <w:rsid w:val="2429376D"/>
    <w:rsid w:val="243B73AD"/>
    <w:rsid w:val="24500E45"/>
    <w:rsid w:val="245A673B"/>
    <w:rsid w:val="245D7497"/>
    <w:rsid w:val="24601C34"/>
    <w:rsid w:val="248B7F36"/>
    <w:rsid w:val="24992C3F"/>
    <w:rsid w:val="249E445B"/>
    <w:rsid w:val="249F57D9"/>
    <w:rsid w:val="24CE18C8"/>
    <w:rsid w:val="24DB7584"/>
    <w:rsid w:val="24DC690A"/>
    <w:rsid w:val="24DF68C8"/>
    <w:rsid w:val="24E70DDF"/>
    <w:rsid w:val="25005C72"/>
    <w:rsid w:val="25032E67"/>
    <w:rsid w:val="25072CB6"/>
    <w:rsid w:val="25107853"/>
    <w:rsid w:val="25150E4A"/>
    <w:rsid w:val="252F2220"/>
    <w:rsid w:val="254816C3"/>
    <w:rsid w:val="254A0730"/>
    <w:rsid w:val="255F10C9"/>
    <w:rsid w:val="25603261"/>
    <w:rsid w:val="25752C02"/>
    <w:rsid w:val="258C3B72"/>
    <w:rsid w:val="258D6CA4"/>
    <w:rsid w:val="258F4D88"/>
    <w:rsid w:val="25A137BA"/>
    <w:rsid w:val="25A537C9"/>
    <w:rsid w:val="25A97B32"/>
    <w:rsid w:val="25AE239D"/>
    <w:rsid w:val="25BD6287"/>
    <w:rsid w:val="25CE0B3E"/>
    <w:rsid w:val="25CF30BA"/>
    <w:rsid w:val="25D87AE6"/>
    <w:rsid w:val="25E71F78"/>
    <w:rsid w:val="25EA75FB"/>
    <w:rsid w:val="26033C65"/>
    <w:rsid w:val="26081BF8"/>
    <w:rsid w:val="260C58C5"/>
    <w:rsid w:val="26103B59"/>
    <w:rsid w:val="261D120E"/>
    <w:rsid w:val="261F28E2"/>
    <w:rsid w:val="26264554"/>
    <w:rsid w:val="262F4C43"/>
    <w:rsid w:val="26333A29"/>
    <w:rsid w:val="26351784"/>
    <w:rsid w:val="26427A28"/>
    <w:rsid w:val="26525ABF"/>
    <w:rsid w:val="26574E2B"/>
    <w:rsid w:val="267056BF"/>
    <w:rsid w:val="2682002D"/>
    <w:rsid w:val="268353CD"/>
    <w:rsid w:val="268426E2"/>
    <w:rsid w:val="26871BB0"/>
    <w:rsid w:val="268D61F7"/>
    <w:rsid w:val="26915CA2"/>
    <w:rsid w:val="26E213AB"/>
    <w:rsid w:val="26E32255"/>
    <w:rsid w:val="26EA75CE"/>
    <w:rsid w:val="26EC6E10"/>
    <w:rsid w:val="26F37CBE"/>
    <w:rsid w:val="27107BF5"/>
    <w:rsid w:val="27276223"/>
    <w:rsid w:val="27326E8F"/>
    <w:rsid w:val="274A6662"/>
    <w:rsid w:val="27570A55"/>
    <w:rsid w:val="276A0443"/>
    <w:rsid w:val="276C1027"/>
    <w:rsid w:val="278B2D28"/>
    <w:rsid w:val="27947308"/>
    <w:rsid w:val="27B60AFD"/>
    <w:rsid w:val="27CD2E52"/>
    <w:rsid w:val="27D47C66"/>
    <w:rsid w:val="27E951EF"/>
    <w:rsid w:val="27EF2A5E"/>
    <w:rsid w:val="27F2325D"/>
    <w:rsid w:val="27F97D3B"/>
    <w:rsid w:val="28014AB4"/>
    <w:rsid w:val="28065FAE"/>
    <w:rsid w:val="280D46CF"/>
    <w:rsid w:val="28377CB6"/>
    <w:rsid w:val="284566E9"/>
    <w:rsid w:val="285577BE"/>
    <w:rsid w:val="287E15AA"/>
    <w:rsid w:val="288D4F6F"/>
    <w:rsid w:val="28BB2CA0"/>
    <w:rsid w:val="28BC2993"/>
    <w:rsid w:val="28C36B12"/>
    <w:rsid w:val="28C6288E"/>
    <w:rsid w:val="28CC10A4"/>
    <w:rsid w:val="28D34355"/>
    <w:rsid w:val="28E2106E"/>
    <w:rsid w:val="28E95483"/>
    <w:rsid w:val="28EB4FE6"/>
    <w:rsid w:val="28EE4F7F"/>
    <w:rsid w:val="28F257BC"/>
    <w:rsid w:val="28F50C58"/>
    <w:rsid w:val="28F62E85"/>
    <w:rsid w:val="28FD43D5"/>
    <w:rsid w:val="29060891"/>
    <w:rsid w:val="290A7357"/>
    <w:rsid w:val="290F2E23"/>
    <w:rsid w:val="29116346"/>
    <w:rsid w:val="291B361A"/>
    <w:rsid w:val="2925011C"/>
    <w:rsid w:val="29334E58"/>
    <w:rsid w:val="29342C80"/>
    <w:rsid w:val="29411740"/>
    <w:rsid w:val="294D1445"/>
    <w:rsid w:val="29576949"/>
    <w:rsid w:val="296C7655"/>
    <w:rsid w:val="296D72E7"/>
    <w:rsid w:val="297C4F1B"/>
    <w:rsid w:val="29C562CC"/>
    <w:rsid w:val="29E522F6"/>
    <w:rsid w:val="29F50DAE"/>
    <w:rsid w:val="29F8715D"/>
    <w:rsid w:val="2A0857F5"/>
    <w:rsid w:val="2A0C1ECE"/>
    <w:rsid w:val="2A0D2B92"/>
    <w:rsid w:val="2A363620"/>
    <w:rsid w:val="2A4006A0"/>
    <w:rsid w:val="2A404777"/>
    <w:rsid w:val="2A6162EF"/>
    <w:rsid w:val="2A664904"/>
    <w:rsid w:val="2A6C0C25"/>
    <w:rsid w:val="2A6C7032"/>
    <w:rsid w:val="2A712586"/>
    <w:rsid w:val="2A750734"/>
    <w:rsid w:val="2A75687F"/>
    <w:rsid w:val="2A772195"/>
    <w:rsid w:val="2A7A4706"/>
    <w:rsid w:val="2A8347FB"/>
    <w:rsid w:val="2A865A2F"/>
    <w:rsid w:val="2A9955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675C2"/>
    <w:rsid w:val="2B2A271C"/>
    <w:rsid w:val="2B325D8C"/>
    <w:rsid w:val="2B397288"/>
    <w:rsid w:val="2B5A2267"/>
    <w:rsid w:val="2B731A25"/>
    <w:rsid w:val="2B8A5BE5"/>
    <w:rsid w:val="2B8B12B1"/>
    <w:rsid w:val="2BA323A5"/>
    <w:rsid w:val="2BA568A1"/>
    <w:rsid w:val="2BA86189"/>
    <w:rsid w:val="2BAE7AC1"/>
    <w:rsid w:val="2BB6470A"/>
    <w:rsid w:val="2BBF1E23"/>
    <w:rsid w:val="2BD92BFB"/>
    <w:rsid w:val="2BEF171D"/>
    <w:rsid w:val="2BFF34F5"/>
    <w:rsid w:val="2C232156"/>
    <w:rsid w:val="2C253560"/>
    <w:rsid w:val="2C486C9F"/>
    <w:rsid w:val="2C5437C3"/>
    <w:rsid w:val="2C5C42D2"/>
    <w:rsid w:val="2C620297"/>
    <w:rsid w:val="2C6E5DD6"/>
    <w:rsid w:val="2C73035A"/>
    <w:rsid w:val="2C7E4A99"/>
    <w:rsid w:val="2C7E5F6C"/>
    <w:rsid w:val="2C877559"/>
    <w:rsid w:val="2C9121B3"/>
    <w:rsid w:val="2C9C7397"/>
    <w:rsid w:val="2C9E4B5A"/>
    <w:rsid w:val="2CA02C0D"/>
    <w:rsid w:val="2CB93C6B"/>
    <w:rsid w:val="2CBA29AB"/>
    <w:rsid w:val="2CBE4E27"/>
    <w:rsid w:val="2CC35504"/>
    <w:rsid w:val="2CC416F6"/>
    <w:rsid w:val="2CDD2949"/>
    <w:rsid w:val="2CEB511E"/>
    <w:rsid w:val="2CFA67BB"/>
    <w:rsid w:val="2D0519BA"/>
    <w:rsid w:val="2D116AA8"/>
    <w:rsid w:val="2D184915"/>
    <w:rsid w:val="2D290954"/>
    <w:rsid w:val="2D2A668F"/>
    <w:rsid w:val="2D2B21F4"/>
    <w:rsid w:val="2D381B6C"/>
    <w:rsid w:val="2D3A36E0"/>
    <w:rsid w:val="2D3D59F8"/>
    <w:rsid w:val="2D4D14E6"/>
    <w:rsid w:val="2D4E4D0B"/>
    <w:rsid w:val="2D5D3DEB"/>
    <w:rsid w:val="2D7406B9"/>
    <w:rsid w:val="2D927047"/>
    <w:rsid w:val="2D9E7AAD"/>
    <w:rsid w:val="2DB379A8"/>
    <w:rsid w:val="2DC92410"/>
    <w:rsid w:val="2DD70417"/>
    <w:rsid w:val="2DDB0F96"/>
    <w:rsid w:val="2DE35418"/>
    <w:rsid w:val="2E0D4E92"/>
    <w:rsid w:val="2E101687"/>
    <w:rsid w:val="2E126562"/>
    <w:rsid w:val="2E1D58DE"/>
    <w:rsid w:val="2E3931A6"/>
    <w:rsid w:val="2E4D43C9"/>
    <w:rsid w:val="2E5513C9"/>
    <w:rsid w:val="2E575F25"/>
    <w:rsid w:val="2E581950"/>
    <w:rsid w:val="2E664B44"/>
    <w:rsid w:val="2E6E3AC1"/>
    <w:rsid w:val="2E806A22"/>
    <w:rsid w:val="2E8C2695"/>
    <w:rsid w:val="2E9333A9"/>
    <w:rsid w:val="2EA961CA"/>
    <w:rsid w:val="2EAC7A25"/>
    <w:rsid w:val="2ECA1201"/>
    <w:rsid w:val="2EDD4176"/>
    <w:rsid w:val="2EF44ACB"/>
    <w:rsid w:val="2EF7711D"/>
    <w:rsid w:val="2F102D49"/>
    <w:rsid w:val="2F1544E7"/>
    <w:rsid w:val="2F22100F"/>
    <w:rsid w:val="2F2A028B"/>
    <w:rsid w:val="2F2E4CD3"/>
    <w:rsid w:val="2F375340"/>
    <w:rsid w:val="2F3C1119"/>
    <w:rsid w:val="2F3F322C"/>
    <w:rsid w:val="2F4361BA"/>
    <w:rsid w:val="2F4773C1"/>
    <w:rsid w:val="2F570BF8"/>
    <w:rsid w:val="2F645E81"/>
    <w:rsid w:val="2F7D414C"/>
    <w:rsid w:val="2F820752"/>
    <w:rsid w:val="2F843CF0"/>
    <w:rsid w:val="2FA557A7"/>
    <w:rsid w:val="2FCC6278"/>
    <w:rsid w:val="2FE73242"/>
    <w:rsid w:val="2FEB512F"/>
    <w:rsid w:val="2FF06294"/>
    <w:rsid w:val="2FF13DD5"/>
    <w:rsid w:val="2FF9135A"/>
    <w:rsid w:val="30121DB6"/>
    <w:rsid w:val="3013071A"/>
    <w:rsid w:val="30194267"/>
    <w:rsid w:val="30265DB3"/>
    <w:rsid w:val="303D2A1B"/>
    <w:rsid w:val="30423C79"/>
    <w:rsid w:val="306205C4"/>
    <w:rsid w:val="308A183B"/>
    <w:rsid w:val="308E5FDF"/>
    <w:rsid w:val="30926D0D"/>
    <w:rsid w:val="30B31F9C"/>
    <w:rsid w:val="30B456E9"/>
    <w:rsid w:val="30B5287E"/>
    <w:rsid w:val="30BC215E"/>
    <w:rsid w:val="30F25E93"/>
    <w:rsid w:val="3126184B"/>
    <w:rsid w:val="31302D16"/>
    <w:rsid w:val="31392A46"/>
    <w:rsid w:val="313A0546"/>
    <w:rsid w:val="31470314"/>
    <w:rsid w:val="316244B7"/>
    <w:rsid w:val="316F1595"/>
    <w:rsid w:val="31854918"/>
    <w:rsid w:val="31963578"/>
    <w:rsid w:val="31A91D45"/>
    <w:rsid w:val="31AC7DF1"/>
    <w:rsid w:val="31AE5339"/>
    <w:rsid w:val="31BA0E10"/>
    <w:rsid w:val="31BB2CDB"/>
    <w:rsid w:val="31CD0980"/>
    <w:rsid w:val="31D811C4"/>
    <w:rsid w:val="31D918C1"/>
    <w:rsid w:val="31EC57C4"/>
    <w:rsid w:val="320E75A5"/>
    <w:rsid w:val="32186538"/>
    <w:rsid w:val="32301C76"/>
    <w:rsid w:val="32384218"/>
    <w:rsid w:val="324178A4"/>
    <w:rsid w:val="325C2D76"/>
    <w:rsid w:val="326507A6"/>
    <w:rsid w:val="32657B0E"/>
    <w:rsid w:val="326F5570"/>
    <w:rsid w:val="327D2BA7"/>
    <w:rsid w:val="32B366CE"/>
    <w:rsid w:val="32BB3603"/>
    <w:rsid w:val="32BE6424"/>
    <w:rsid w:val="32C246E2"/>
    <w:rsid w:val="32C31C14"/>
    <w:rsid w:val="32C753E9"/>
    <w:rsid w:val="32CD393F"/>
    <w:rsid w:val="32CF3752"/>
    <w:rsid w:val="32DD7534"/>
    <w:rsid w:val="33313D66"/>
    <w:rsid w:val="33397206"/>
    <w:rsid w:val="33451D77"/>
    <w:rsid w:val="33516568"/>
    <w:rsid w:val="33547F1F"/>
    <w:rsid w:val="33562598"/>
    <w:rsid w:val="335665A6"/>
    <w:rsid w:val="33796778"/>
    <w:rsid w:val="337F01D0"/>
    <w:rsid w:val="3397431E"/>
    <w:rsid w:val="33AD0C9D"/>
    <w:rsid w:val="33CC7710"/>
    <w:rsid w:val="33D271EB"/>
    <w:rsid w:val="33E71937"/>
    <w:rsid w:val="33F4710E"/>
    <w:rsid w:val="33FC6D82"/>
    <w:rsid w:val="33FE650E"/>
    <w:rsid w:val="33FF507E"/>
    <w:rsid w:val="34070CF8"/>
    <w:rsid w:val="34075BDC"/>
    <w:rsid w:val="340925AB"/>
    <w:rsid w:val="341E76A7"/>
    <w:rsid w:val="34243808"/>
    <w:rsid w:val="34283065"/>
    <w:rsid w:val="343B5BC5"/>
    <w:rsid w:val="345D1DC0"/>
    <w:rsid w:val="345E2E34"/>
    <w:rsid w:val="346856A8"/>
    <w:rsid w:val="346B074E"/>
    <w:rsid w:val="34700B52"/>
    <w:rsid w:val="347C5431"/>
    <w:rsid w:val="34802039"/>
    <w:rsid w:val="3491665A"/>
    <w:rsid w:val="349D3745"/>
    <w:rsid w:val="34B058ED"/>
    <w:rsid w:val="34B2035B"/>
    <w:rsid w:val="34BE7BE9"/>
    <w:rsid w:val="34DD1CB0"/>
    <w:rsid w:val="34E06A6B"/>
    <w:rsid w:val="34EA0F65"/>
    <w:rsid w:val="34F2011B"/>
    <w:rsid w:val="34F73B82"/>
    <w:rsid w:val="35027E6B"/>
    <w:rsid w:val="350826B6"/>
    <w:rsid w:val="350A0B81"/>
    <w:rsid w:val="351B5AFA"/>
    <w:rsid w:val="351E408A"/>
    <w:rsid w:val="35290E4D"/>
    <w:rsid w:val="3544100D"/>
    <w:rsid w:val="35560A7E"/>
    <w:rsid w:val="35666732"/>
    <w:rsid w:val="356A5601"/>
    <w:rsid w:val="358210F2"/>
    <w:rsid w:val="358A3815"/>
    <w:rsid w:val="359962FA"/>
    <w:rsid w:val="359F16E4"/>
    <w:rsid w:val="35A070D0"/>
    <w:rsid w:val="35AD4F37"/>
    <w:rsid w:val="35C606F5"/>
    <w:rsid w:val="35CB6289"/>
    <w:rsid w:val="35CE28FE"/>
    <w:rsid w:val="35D02FEC"/>
    <w:rsid w:val="35D3274B"/>
    <w:rsid w:val="35DB0EDD"/>
    <w:rsid w:val="35ED18D3"/>
    <w:rsid w:val="35FA78A7"/>
    <w:rsid w:val="35FD2EFD"/>
    <w:rsid w:val="35FF6231"/>
    <w:rsid w:val="3606138A"/>
    <w:rsid w:val="360A1772"/>
    <w:rsid w:val="362929EA"/>
    <w:rsid w:val="362F21A4"/>
    <w:rsid w:val="36513994"/>
    <w:rsid w:val="365430D0"/>
    <w:rsid w:val="3663131A"/>
    <w:rsid w:val="366352D9"/>
    <w:rsid w:val="366B0451"/>
    <w:rsid w:val="367935A4"/>
    <w:rsid w:val="3683705A"/>
    <w:rsid w:val="3689340F"/>
    <w:rsid w:val="36BC1010"/>
    <w:rsid w:val="36C636CB"/>
    <w:rsid w:val="36CD1928"/>
    <w:rsid w:val="36DD19D5"/>
    <w:rsid w:val="36DF0DCF"/>
    <w:rsid w:val="36E71C00"/>
    <w:rsid w:val="36E86D31"/>
    <w:rsid w:val="37206A20"/>
    <w:rsid w:val="372D0DBF"/>
    <w:rsid w:val="372F1B40"/>
    <w:rsid w:val="373A3D76"/>
    <w:rsid w:val="374B3050"/>
    <w:rsid w:val="3754377B"/>
    <w:rsid w:val="376755B7"/>
    <w:rsid w:val="376818E6"/>
    <w:rsid w:val="377E113A"/>
    <w:rsid w:val="37873DC6"/>
    <w:rsid w:val="378C5DE8"/>
    <w:rsid w:val="379A365A"/>
    <w:rsid w:val="37A81832"/>
    <w:rsid w:val="37B3284E"/>
    <w:rsid w:val="37B93020"/>
    <w:rsid w:val="37FD7147"/>
    <w:rsid w:val="380F45AD"/>
    <w:rsid w:val="38365636"/>
    <w:rsid w:val="3842298F"/>
    <w:rsid w:val="3858063B"/>
    <w:rsid w:val="385D34C1"/>
    <w:rsid w:val="386B0ED9"/>
    <w:rsid w:val="387D29BE"/>
    <w:rsid w:val="38837E13"/>
    <w:rsid w:val="38862BA8"/>
    <w:rsid w:val="388C5F8D"/>
    <w:rsid w:val="38945C70"/>
    <w:rsid w:val="38A05A0D"/>
    <w:rsid w:val="38A968C8"/>
    <w:rsid w:val="38B96453"/>
    <w:rsid w:val="38D27E22"/>
    <w:rsid w:val="38DF3E98"/>
    <w:rsid w:val="38F05821"/>
    <w:rsid w:val="39160507"/>
    <w:rsid w:val="39197EF7"/>
    <w:rsid w:val="39267A2B"/>
    <w:rsid w:val="393B6A45"/>
    <w:rsid w:val="3957061E"/>
    <w:rsid w:val="39793CEA"/>
    <w:rsid w:val="398448F4"/>
    <w:rsid w:val="39884C68"/>
    <w:rsid w:val="398A5E83"/>
    <w:rsid w:val="399C1A52"/>
    <w:rsid w:val="39AA29DA"/>
    <w:rsid w:val="39B50F31"/>
    <w:rsid w:val="39E530A4"/>
    <w:rsid w:val="39FF6602"/>
    <w:rsid w:val="3A033721"/>
    <w:rsid w:val="3A047EE6"/>
    <w:rsid w:val="3A0731EC"/>
    <w:rsid w:val="3A15267E"/>
    <w:rsid w:val="3A18263D"/>
    <w:rsid w:val="3A2549CE"/>
    <w:rsid w:val="3A293940"/>
    <w:rsid w:val="3A323E9A"/>
    <w:rsid w:val="3A3A7E9A"/>
    <w:rsid w:val="3A3F3E43"/>
    <w:rsid w:val="3A4379E7"/>
    <w:rsid w:val="3A615F7B"/>
    <w:rsid w:val="3A650A0E"/>
    <w:rsid w:val="3A6662AD"/>
    <w:rsid w:val="3A6A1FD6"/>
    <w:rsid w:val="3A7F3816"/>
    <w:rsid w:val="3A845910"/>
    <w:rsid w:val="3A8D5643"/>
    <w:rsid w:val="3A986C86"/>
    <w:rsid w:val="3AB445DA"/>
    <w:rsid w:val="3AC40869"/>
    <w:rsid w:val="3ADF149B"/>
    <w:rsid w:val="3AE93A93"/>
    <w:rsid w:val="3AEA6D99"/>
    <w:rsid w:val="3AEE64DE"/>
    <w:rsid w:val="3B0F1B0C"/>
    <w:rsid w:val="3B2D7969"/>
    <w:rsid w:val="3B5C5E4F"/>
    <w:rsid w:val="3B874C03"/>
    <w:rsid w:val="3B8A05C9"/>
    <w:rsid w:val="3B8B65A4"/>
    <w:rsid w:val="3B9C51AC"/>
    <w:rsid w:val="3BA52741"/>
    <w:rsid w:val="3BA86F0F"/>
    <w:rsid w:val="3BB26CEE"/>
    <w:rsid w:val="3BBE4E43"/>
    <w:rsid w:val="3BDE71BE"/>
    <w:rsid w:val="3C0B32C7"/>
    <w:rsid w:val="3C0B7D3C"/>
    <w:rsid w:val="3C144C5E"/>
    <w:rsid w:val="3C145C57"/>
    <w:rsid w:val="3C217DAA"/>
    <w:rsid w:val="3C2B5922"/>
    <w:rsid w:val="3C302B64"/>
    <w:rsid w:val="3C351CCD"/>
    <w:rsid w:val="3C536F45"/>
    <w:rsid w:val="3C5D698E"/>
    <w:rsid w:val="3C6733FA"/>
    <w:rsid w:val="3C7617CA"/>
    <w:rsid w:val="3C8E5F82"/>
    <w:rsid w:val="3C910387"/>
    <w:rsid w:val="3C9A3ED3"/>
    <w:rsid w:val="3CA1586E"/>
    <w:rsid w:val="3CBB3335"/>
    <w:rsid w:val="3CC21E8B"/>
    <w:rsid w:val="3CC258D5"/>
    <w:rsid w:val="3CCC471D"/>
    <w:rsid w:val="3CD30C12"/>
    <w:rsid w:val="3CDC1F42"/>
    <w:rsid w:val="3CF1460B"/>
    <w:rsid w:val="3CFE7137"/>
    <w:rsid w:val="3CFF5FCC"/>
    <w:rsid w:val="3D1A706D"/>
    <w:rsid w:val="3D1E69C8"/>
    <w:rsid w:val="3D216871"/>
    <w:rsid w:val="3D244471"/>
    <w:rsid w:val="3D4C08A0"/>
    <w:rsid w:val="3D5305FD"/>
    <w:rsid w:val="3D5F34BD"/>
    <w:rsid w:val="3D6B775D"/>
    <w:rsid w:val="3D707E47"/>
    <w:rsid w:val="3D752505"/>
    <w:rsid w:val="3D7A5575"/>
    <w:rsid w:val="3D7C400B"/>
    <w:rsid w:val="3D7D0F46"/>
    <w:rsid w:val="3D8370EF"/>
    <w:rsid w:val="3D87456C"/>
    <w:rsid w:val="3D8C5968"/>
    <w:rsid w:val="3D916D86"/>
    <w:rsid w:val="3D9210C1"/>
    <w:rsid w:val="3D9901D9"/>
    <w:rsid w:val="3D9A6A88"/>
    <w:rsid w:val="3DA1312A"/>
    <w:rsid w:val="3DB66C9C"/>
    <w:rsid w:val="3DC60812"/>
    <w:rsid w:val="3DCF4766"/>
    <w:rsid w:val="3DD03022"/>
    <w:rsid w:val="3DE71F04"/>
    <w:rsid w:val="3DEB027D"/>
    <w:rsid w:val="3E051F58"/>
    <w:rsid w:val="3E066FA9"/>
    <w:rsid w:val="3E151359"/>
    <w:rsid w:val="3E151F4C"/>
    <w:rsid w:val="3E2C49F5"/>
    <w:rsid w:val="3E3300CE"/>
    <w:rsid w:val="3E350B86"/>
    <w:rsid w:val="3E5A0513"/>
    <w:rsid w:val="3E5A3026"/>
    <w:rsid w:val="3E5C77A9"/>
    <w:rsid w:val="3E5D3CBD"/>
    <w:rsid w:val="3E657539"/>
    <w:rsid w:val="3E6C7927"/>
    <w:rsid w:val="3E6D35C9"/>
    <w:rsid w:val="3E6F6BFE"/>
    <w:rsid w:val="3E727C2D"/>
    <w:rsid w:val="3E8208DF"/>
    <w:rsid w:val="3E833861"/>
    <w:rsid w:val="3E9902BD"/>
    <w:rsid w:val="3EAB68CC"/>
    <w:rsid w:val="3EB45BDF"/>
    <w:rsid w:val="3EC41896"/>
    <w:rsid w:val="3EE16478"/>
    <w:rsid w:val="3EF2130E"/>
    <w:rsid w:val="3F0E4AA7"/>
    <w:rsid w:val="3F1744A9"/>
    <w:rsid w:val="3F193BE6"/>
    <w:rsid w:val="3F1D1FCC"/>
    <w:rsid w:val="3F23345D"/>
    <w:rsid w:val="3F322E39"/>
    <w:rsid w:val="3F426AC3"/>
    <w:rsid w:val="3F5703F4"/>
    <w:rsid w:val="3F68666F"/>
    <w:rsid w:val="3F722647"/>
    <w:rsid w:val="3F7A2C0E"/>
    <w:rsid w:val="3F8506AB"/>
    <w:rsid w:val="3F8E25FD"/>
    <w:rsid w:val="3F981A4B"/>
    <w:rsid w:val="3FB771CD"/>
    <w:rsid w:val="3FBA408C"/>
    <w:rsid w:val="3FBF4016"/>
    <w:rsid w:val="3FC454C6"/>
    <w:rsid w:val="3FC657A0"/>
    <w:rsid w:val="3FE31D82"/>
    <w:rsid w:val="3FEE7226"/>
    <w:rsid w:val="3FF60A01"/>
    <w:rsid w:val="400F3BF4"/>
    <w:rsid w:val="40123B43"/>
    <w:rsid w:val="40151C80"/>
    <w:rsid w:val="401A4816"/>
    <w:rsid w:val="404224B6"/>
    <w:rsid w:val="40432906"/>
    <w:rsid w:val="40433886"/>
    <w:rsid w:val="405B60B6"/>
    <w:rsid w:val="406903C7"/>
    <w:rsid w:val="406930A8"/>
    <w:rsid w:val="40805B94"/>
    <w:rsid w:val="4097541A"/>
    <w:rsid w:val="40B450C1"/>
    <w:rsid w:val="40DA6699"/>
    <w:rsid w:val="40E81F30"/>
    <w:rsid w:val="40F95C2C"/>
    <w:rsid w:val="4113642B"/>
    <w:rsid w:val="41151751"/>
    <w:rsid w:val="411D5581"/>
    <w:rsid w:val="411F13DA"/>
    <w:rsid w:val="41225E28"/>
    <w:rsid w:val="41253425"/>
    <w:rsid w:val="413635BD"/>
    <w:rsid w:val="413E7731"/>
    <w:rsid w:val="415B01B8"/>
    <w:rsid w:val="417525E2"/>
    <w:rsid w:val="417B68A3"/>
    <w:rsid w:val="417F3AA5"/>
    <w:rsid w:val="418F3709"/>
    <w:rsid w:val="419E41FD"/>
    <w:rsid w:val="41A6561A"/>
    <w:rsid w:val="41BC51E7"/>
    <w:rsid w:val="41C1720A"/>
    <w:rsid w:val="41C807B8"/>
    <w:rsid w:val="41D35005"/>
    <w:rsid w:val="41DA7F1B"/>
    <w:rsid w:val="41E310E9"/>
    <w:rsid w:val="41EC244C"/>
    <w:rsid w:val="42115916"/>
    <w:rsid w:val="422C7459"/>
    <w:rsid w:val="426B07CD"/>
    <w:rsid w:val="427232E6"/>
    <w:rsid w:val="4279133E"/>
    <w:rsid w:val="427B56B5"/>
    <w:rsid w:val="429F4867"/>
    <w:rsid w:val="42B876D7"/>
    <w:rsid w:val="42C12743"/>
    <w:rsid w:val="42CF7206"/>
    <w:rsid w:val="42DC7FA5"/>
    <w:rsid w:val="42DE73EB"/>
    <w:rsid w:val="42EA5D21"/>
    <w:rsid w:val="42F55E0F"/>
    <w:rsid w:val="42F8391A"/>
    <w:rsid w:val="42FA2064"/>
    <w:rsid w:val="43002024"/>
    <w:rsid w:val="430B71E6"/>
    <w:rsid w:val="4313140F"/>
    <w:rsid w:val="4337362E"/>
    <w:rsid w:val="433C0AD9"/>
    <w:rsid w:val="43474731"/>
    <w:rsid w:val="435C2DD4"/>
    <w:rsid w:val="43606EE8"/>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04787"/>
    <w:rsid w:val="44387B6B"/>
    <w:rsid w:val="44396033"/>
    <w:rsid w:val="44400618"/>
    <w:rsid w:val="444168F4"/>
    <w:rsid w:val="444812B4"/>
    <w:rsid w:val="444F4CC5"/>
    <w:rsid w:val="44723E90"/>
    <w:rsid w:val="44905E4F"/>
    <w:rsid w:val="449C324D"/>
    <w:rsid w:val="44AE2C64"/>
    <w:rsid w:val="44B25954"/>
    <w:rsid w:val="44B571A3"/>
    <w:rsid w:val="44B578AF"/>
    <w:rsid w:val="44BB5881"/>
    <w:rsid w:val="44BF3C17"/>
    <w:rsid w:val="44C2475D"/>
    <w:rsid w:val="44C4105B"/>
    <w:rsid w:val="44C52BC8"/>
    <w:rsid w:val="44C70D28"/>
    <w:rsid w:val="44D51908"/>
    <w:rsid w:val="44E43637"/>
    <w:rsid w:val="44F2491C"/>
    <w:rsid w:val="44F50EE8"/>
    <w:rsid w:val="44F64EB1"/>
    <w:rsid w:val="45057185"/>
    <w:rsid w:val="45157910"/>
    <w:rsid w:val="451B4B19"/>
    <w:rsid w:val="451B643C"/>
    <w:rsid w:val="45400BC0"/>
    <w:rsid w:val="455C4C80"/>
    <w:rsid w:val="45617F43"/>
    <w:rsid w:val="45675C27"/>
    <w:rsid w:val="4572498F"/>
    <w:rsid w:val="458469DB"/>
    <w:rsid w:val="45871207"/>
    <w:rsid w:val="459D11EF"/>
    <w:rsid w:val="459D3251"/>
    <w:rsid w:val="45A1725C"/>
    <w:rsid w:val="45A34A00"/>
    <w:rsid w:val="45B431B8"/>
    <w:rsid w:val="45C20D69"/>
    <w:rsid w:val="45D077D4"/>
    <w:rsid w:val="45D6038F"/>
    <w:rsid w:val="45EF1E60"/>
    <w:rsid w:val="45F877F1"/>
    <w:rsid w:val="460E7A7F"/>
    <w:rsid w:val="46163A58"/>
    <w:rsid w:val="461C30A3"/>
    <w:rsid w:val="461F2208"/>
    <w:rsid w:val="463416CE"/>
    <w:rsid w:val="4638223A"/>
    <w:rsid w:val="466E0F0B"/>
    <w:rsid w:val="4673382E"/>
    <w:rsid w:val="4675674D"/>
    <w:rsid w:val="46766A7F"/>
    <w:rsid w:val="469F56A5"/>
    <w:rsid w:val="46B33A46"/>
    <w:rsid w:val="46C86EBD"/>
    <w:rsid w:val="46DA4A29"/>
    <w:rsid w:val="46E26B7A"/>
    <w:rsid w:val="46EF6364"/>
    <w:rsid w:val="46F22FE0"/>
    <w:rsid w:val="46FE495F"/>
    <w:rsid w:val="470B3C00"/>
    <w:rsid w:val="470E7548"/>
    <w:rsid w:val="471911A4"/>
    <w:rsid w:val="471E3E36"/>
    <w:rsid w:val="474642EB"/>
    <w:rsid w:val="47464FC4"/>
    <w:rsid w:val="474C1532"/>
    <w:rsid w:val="4751578B"/>
    <w:rsid w:val="47561544"/>
    <w:rsid w:val="476025BF"/>
    <w:rsid w:val="47667359"/>
    <w:rsid w:val="476F7EEF"/>
    <w:rsid w:val="47750DA8"/>
    <w:rsid w:val="477E5C97"/>
    <w:rsid w:val="477E7524"/>
    <w:rsid w:val="47833A3E"/>
    <w:rsid w:val="4786400A"/>
    <w:rsid w:val="479434D5"/>
    <w:rsid w:val="479A3DE3"/>
    <w:rsid w:val="47C01F75"/>
    <w:rsid w:val="47DB202B"/>
    <w:rsid w:val="47E65C2F"/>
    <w:rsid w:val="47EB601C"/>
    <w:rsid w:val="47F664B8"/>
    <w:rsid w:val="47F76470"/>
    <w:rsid w:val="48052A48"/>
    <w:rsid w:val="48067F05"/>
    <w:rsid w:val="48082259"/>
    <w:rsid w:val="481A5198"/>
    <w:rsid w:val="4830797B"/>
    <w:rsid w:val="484A5559"/>
    <w:rsid w:val="48550E03"/>
    <w:rsid w:val="485A507F"/>
    <w:rsid w:val="486E3D48"/>
    <w:rsid w:val="48723A44"/>
    <w:rsid w:val="487E02E7"/>
    <w:rsid w:val="48A067FF"/>
    <w:rsid w:val="48A26C6C"/>
    <w:rsid w:val="48A959DD"/>
    <w:rsid w:val="48A9775D"/>
    <w:rsid w:val="48B84574"/>
    <w:rsid w:val="48CD6635"/>
    <w:rsid w:val="48E31A8E"/>
    <w:rsid w:val="48F15DFA"/>
    <w:rsid w:val="4900172C"/>
    <w:rsid w:val="491451B5"/>
    <w:rsid w:val="491A53A2"/>
    <w:rsid w:val="492C6E96"/>
    <w:rsid w:val="493F499D"/>
    <w:rsid w:val="494139AE"/>
    <w:rsid w:val="49657721"/>
    <w:rsid w:val="497F2541"/>
    <w:rsid w:val="49825CBE"/>
    <w:rsid w:val="49901ACC"/>
    <w:rsid w:val="499B2AD0"/>
    <w:rsid w:val="49A67A57"/>
    <w:rsid w:val="49AD250C"/>
    <w:rsid w:val="49B839C4"/>
    <w:rsid w:val="49F43B8C"/>
    <w:rsid w:val="4A0D10B0"/>
    <w:rsid w:val="4A223490"/>
    <w:rsid w:val="4A280924"/>
    <w:rsid w:val="4A2B1DEA"/>
    <w:rsid w:val="4A2D0F49"/>
    <w:rsid w:val="4A443451"/>
    <w:rsid w:val="4A483D90"/>
    <w:rsid w:val="4A712BA0"/>
    <w:rsid w:val="4A86569C"/>
    <w:rsid w:val="4A9A792C"/>
    <w:rsid w:val="4AA56938"/>
    <w:rsid w:val="4AAE33D4"/>
    <w:rsid w:val="4ABD625F"/>
    <w:rsid w:val="4AC01D67"/>
    <w:rsid w:val="4AC80764"/>
    <w:rsid w:val="4AE378B3"/>
    <w:rsid w:val="4AEB5D56"/>
    <w:rsid w:val="4AF733EF"/>
    <w:rsid w:val="4B000F57"/>
    <w:rsid w:val="4B071D1C"/>
    <w:rsid w:val="4B1232DD"/>
    <w:rsid w:val="4B151D54"/>
    <w:rsid w:val="4B1C5BD6"/>
    <w:rsid w:val="4B2030CF"/>
    <w:rsid w:val="4B2A5E61"/>
    <w:rsid w:val="4B2B23B8"/>
    <w:rsid w:val="4B475E52"/>
    <w:rsid w:val="4B551754"/>
    <w:rsid w:val="4B5A73D8"/>
    <w:rsid w:val="4B6842EC"/>
    <w:rsid w:val="4B8B3A50"/>
    <w:rsid w:val="4B911420"/>
    <w:rsid w:val="4B914690"/>
    <w:rsid w:val="4B967ECC"/>
    <w:rsid w:val="4B9801F4"/>
    <w:rsid w:val="4BAA574F"/>
    <w:rsid w:val="4BD70D0D"/>
    <w:rsid w:val="4BE55BB9"/>
    <w:rsid w:val="4C0F3100"/>
    <w:rsid w:val="4C2941CA"/>
    <w:rsid w:val="4C3979DB"/>
    <w:rsid w:val="4C3D2514"/>
    <w:rsid w:val="4C3E0FF7"/>
    <w:rsid w:val="4C4128E4"/>
    <w:rsid w:val="4C4C650D"/>
    <w:rsid w:val="4C564821"/>
    <w:rsid w:val="4C642696"/>
    <w:rsid w:val="4C753405"/>
    <w:rsid w:val="4C834096"/>
    <w:rsid w:val="4C96033B"/>
    <w:rsid w:val="4C97549D"/>
    <w:rsid w:val="4CA52FBE"/>
    <w:rsid w:val="4CA707E7"/>
    <w:rsid w:val="4CAB201F"/>
    <w:rsid w:val="4CC4204E"/>
    <w:rsid w:val="4CCF2F1F"/>
    <w:rsid w:val="4CD841F0"/>
    <w:rsid w:val="4CD87782"/>
    <w:rsid w:val="4CDD1206"/>
    <w:rsid w:val="4CF06B00"/>
    <w:rsid w:val="4CF76CE2"/>
    <w:rsid w:val="4CF813F9"/>
    <w:rsid w:val="4D1B2635"/>
    <w:rsid w:val="4D2251B3"/>
    <w:rsid w:val="4D463441"/>
    <w:rsid w:val="4D4D03E2"/>
    <w:rsid w:val="4D6837B8"/>
    <w:rsid w:val="4D6A0811"/>
    <w:rsid w:val="4D6F6F69"/>
    <w:rsid w:val="4D776DC3"/>
    <w:rsid w:val="4D877D93"/>
    <w:rsid w:val="4D9159F5"/>
    <w:rsid w:val="4D96605A"/>
    <w:rsid w:val="4D98115A"/>
    <w:rsid w:val="4DA01148"/>
    <w:rsid w:val="4DA35756"/>
    <w:rsid w:val="4DCD73A9"/>
    <w:rsid w:val="4DEA2577"/>
    <w:rsid w:val="4DF21DFB"/>
    <w:rsid w:val="4DFD3850"/>
    <w:rsid w:val="4E1702F3"/>
    <w:rsid w:val="4E2369FD"/>
    <w:rsid w:val="4E303544"/>
    <w:rsid w:val="4E33408C"/>
    <w:rsid w:val="4E5E0C21"/>
    <w:rsid w:val="4E624CAB"/>
    <w:rsid w:val="4E710658"/>
    <w:rsid w:val="4E846458"/>
    <w:rsid w:val="4EB244F5"/>
    <w:rsid w:val="4EC250AA"/>
    <w:rsid w:val="4EC43EE2"/>
    <w:rsid w:val="4EDC653A"/>
    <w:rsid w:val="4EE23ABC"/>
    <w:rsid w:val="4F0129AC"/>
    <w:rsid w:val="4F01717B"/>
    <w:rsid w:val="4F097167"/>
    <w:rsid w:val="4F157C4F"/>
    <w:rsid w:val="4F401FBB"/>
    <w:rsid w:val="4F4F565B"/>
    <w:rsid w:val="4F531102"/>
    <w:rsid w:val="4F576D7F"/>
    <w:rsid w:val="4F5A4BC4"/>
    <w:rsid w:val="4F626555"/>
    <w:rsid w:val="4F742162"/>
    <w:rsid w:val="4F7933F9"/>
    <w:rsid w:val="4F8144A4"/>
    <w:rsid w:val="4F83310C"/>
    <w:rsid w:val="4F8731AB"/>
    <w:rsid w:val="4F903087"/>
    <w:rsid w:val="4FAD3702"/>
    <w:rsid w:val="4FC6748D"/>
    <w:rsid w:val="4FD14464"/>
    <w:rsid w:val="4FE20BB5"/>
    <w:rsid w:val="4FFA7287"/>
    <w:rsid w:val="4FFB3D28"/>
    <w:rsid w:val="500908D6"/>
    <w:rsid w:val="500C2A64"/>
    <w:rsid w:val="503839AD"/>
    <w:rsid w:val="503B7294"/>
    <w:rsid w:val="50564035"/>
    <w:rsid w:val="509A6650"/>
    <w:rsid w:val="50B14CA7"/>
    <w:rsid w:val="50B42C92"/>
    <w:rsid w:val="50C46433"/>
    <w:rsid w:val="50F04F61"/>
    <w:rsid w:val="5118355B"/>
    <w:rsid w:val="511F07F8"/>
    <w:rsid w:val="512A08D6"/>
    <w:rsid w:val="512B081D"/>
    <w:rsid w:val="512B4746"/>
    <w:rsid w:val="5150314F"/>
    <w:rsid w:val="51526357"/>
    <w:rsid w:val="51533CC7"/>
    <w:rsid w:val="515F7EA6"/>
    <w:rsid w:val="516164B6"/>
    <w:rsid w:val="516372E4"/>
    <w:rsid w:val="516414B3"/>
    <w:rsid w:val="517003D2"/>
    <w:rsid w:val="51887C28"/>
    <w:rsid w:val="519705C8"/>
    <w:rsid w:val="519B3A9C"/>
    <w:rsid w:val="51B33439"/>
    <w:rsid w:val="51B3391D"/>
    <w:rsid w:val="51CB7231"/>
    <w:rsid w:val="51DE6A73"/>
    <w:rsid w:val="51EC0594"/>
    <w:rsid w:val="51F326E7"/>
    <w:rsid w:val="521956B4"/>
    <w:rsid w:val="52306F10"/>
    <w:rsid w:val="52463294"/>
    <w:rsid w:val="52473222"/>
    <w:rsid w:val="524C1ED0"/>
    <w:rsid w:val="5252693E"/>
    <w:rsid w:val="525B21B3"/>
    <w:rsid w:val="5288723F"/>
    <w:rsid w:val="529D62AB"/>
    <w:rsid w:val="52A764C0"/>
    <w:rsid w:val="52C716E5"/>
    <w:rsid w:val="52C73CB6"/>
    <w:rsid w:val="52CF5BD6"/>
    <w:rsid w:val="52E02DB1"/>
    <w:rsid w:val="52E15A71"/>
    <w:rsid w:val="52E64FBD"/>
    <w:rsid w:val="52ED5A18"/>
    <w:rsid w:val="530C65D4"/>
    <w:rsid w:val="532049B3"/>
    <w:rsid w:val="5322043D"/>
    <w:rsid w:val="53224905"/>
    <w:rsid w:val="5328483A"/>
    <w:rsid w:val="532D0EE3"/>
    <w:rsid w:val="53361AE6"/>
    <w:rsid w:val="533C018A"/>
    <w:rsid w:val="534578C9"/>
    <w:rsid w:val="5347639A"/>
    <w:rsid w:val="534E13AE"/>
    <w:rsid w:val="537531EB"/>
    <w:rsid w:val="537629B5"/>
    <w:rsid w:val="537B6AB8"/>
    <w:rsid w:val="538556C1"/>
    <w:rsid w:val="53866318"/>
    <w:rsid w:val="53A36021"/>
    <w:rsid w:val="53A7222E"/>
    <w:rsid w:val="53A83D6B"/>
    <w:rsid w:val="53C548B5"/>
    <w:rsid w:val="53C87335"/>
    <w:rsid w:val="53D25C65"/>
    <w:rsid w:val="53EF6E85"/>
    <w:rsid w:val="53F050F7"/>
    <w:rsid w:val="54026475"/>
    <w:rsid w:val="540D2DB1"/>
    <w:rsid w:val="54265DCC"/>
    <w:rsid w:val="54505399"/>
    <w:rsid w:val="54564BA3"/>
    <w:rsid w:val="545A23E4"/>
    <w:rsid w:val="545D2A76"/>
    <w:rsid w:val="547C69F2"/>
    <w:rsid w:val="548352CB"/>
    <w:rsid w:val="54882051"/>
    <w:rsid w:val="548B79F3"/>
    <w:rsid w:val="548F6726"/>
    <w:rsid w:val="54900F96"/>
    <w:rsid w:val="54990495"/>
    <w:rsid w:val="54AE498A"/>
    <w:rsid w:val="54D509EC"/>
    <w:rsid w:val="54D73DC0"/>
    <w:rsid w:val="55093E22"/>
    <w:rsid w:val="55285397"/>
    <w:rsid w:val="553266E7"/>
    <w:rsid w:val="553413DD"/>
    <w:rsid w:val="55367F4D"/>
    <w:rsid w:val="553A13A9"/>
    <w:rsid w:val="55440B0E"/>
    <w:rsid w:val="55494A31"/>
    <w:rsid w:val="554B1F27"/>
    <w:rsid w:val="556A6246"/>
    <w:rsid w:val="55794F8B"/>
    <w:rsid w:val="557B4C8B"/>
    <w:rsid w:val="558A5F58"/>
    <w:rsid w:val="558D782E"/>
    <w:rsid w:val="558F42FA"/>
    <w:rsid w:val="559445A5"/>
    <w:rsid w:val="55951C70"/>
    <w:rsid w:val="55BB4B52"/>
    <w:rsid w:val="55C9740D"/>
    <w:rsid w:val="55CB1CAC"/>
    <w:rsid w:val="55D11067"/>
    <w:rsid w:val="55D15F89"/>
    <w:rsid w:val="55D50B7F"/>
    <w:rsid w:val="55EA6D1D"/>
    <w:rsid w:val="55EE45E5"/>
    <w:rsid w:val="56211BC6"/>
    <w:rsid w:val="563B5EB6"/>
    <w:rsid w:val="56563315"/>
    <w:rsid w:val="56597936"/>
    <w:rsid w:val="565A3745"/>
    <w:rsid w:val="56674043"/>
    <w:rsid w:val="56890707"/>
    <w:rsid w:val="5694199B"/>
    <w:rsid w:val="56970A46"/>
    <w:rsid w:val="56B50793"/>
    <w:rsid w:val="56D87655"/>
    <w:rsid w:val="56DC7D13"/>
    <w:rsid w:val="56DD7F29"/>
    <w:rsid w:val="56DF393F"/>
    <w:rsid w:val="56E62432"/>
    <w:rsid w:val="56F267E1"/>
    <w:rsid w:val="56F54041"/>
    <w:rsid w:val="57036935"/>
    <w:rsid w:val="571324AB"/>
    <w:rsid w:val="571E6EC9"/>
    <w:rsid w:val="57211E57"/>
    <w:rsid w:val="57271B76"/>
    <w:rsid w:val="57290486"/>
    <w:rsid w:val="57495B53"/>
    <w:rsid w:val="57555665"/>
    <w:rsid w:val="575F3DA0"/>
    <w:rsid w:val="57741E6F"/>
    <w:rsid w:val="577838C7"/>
    <w:rsid w:val="577A51D7"/>
    <w:rsid w:val="578E0E4C"/>
    <w:rsid w:val="5798597C"/>
    <w:rsid w:val="579A247C"/>
    <w:rsid w:val="57A13973"/>
    <w:rsid w:val="57AB1756"/>
    <w:rsid w:val="57BA40E0"/>
    <w:rsid w:val="57C05330"/>
    <w:rsid w:val="57E46B48"/>
    <w:rsid w:val="57F86A47"/>
    <w:rsid w:val="5801289D"/>
    <w:rsid w:val="58033F83"/>
    <w:rsid w:val="58034FDF"/>
    <w:rsid w:val="580366F8"/>
    <w:rsid w:val="58051F1B"/>
    <w:rsid w:val="581669AF"/>
    <w:rsid w:val="582A0100"/>
    <w:rsid w:val="582A6F6D"/>
    <w:rsid w:val="58461CAA"/>
    <w:rsid w:val="5846712E"/>
    <w:rsid w:val="584E4B11"/>
    <w:rsid w:val="58572E7D"/>
    <w:rsid w:val="585B6170"/>
    <w:rsid w:val="58687B2D"/>
    <w:rsid w:val="586C05B7"/>
    <w:rsid w:val="587B333A"/>
    <w:rsid w:val="587F5229"/>
    <w:rsid w:val="58872DB5"/>
    <w:rsid w:val="5887696E"/>
    <w:rsid w:val="588E3958"/>
    <w:rsid w:val="58913A6D"/>
    <w:rsid w:val="58957BD9"/>
    <w:rsid w:val="58A03185"/>
    <w:rsid w:val="58A74E2C"/>
    <w:rsid w:val="58B50A9E"/>
    <w:rsid w:val="58C213D0"/>
    <w:rsid w:val="58CA2633"/>
    <w:rsid w:val="58D108AB"/>
    <w:rsid w:val="58F14B54"/>
    <w:rsid w:val="590848BC"/>
    <w:rsid w:val="5917423E"/>
    <w:rsid w:val="59523F34"/>
    <w:rsid w:val="59565A07"/>
    <w:rsid w:val="5978724E"/>
    <w:rsid w:val="59826013"/>
    <w:rsid w:val="599312D8"/>
    <w:rsid w:val="59A83A62"/>
    <w:rsid w:val="59AE6DF4"/>
    <w:rsid w:val="59AF2D7A"/>
    <w:rsid w:val="59BD41FF"/>
    <w:rsid w:val="59C62A60"/>
    <w:rsid w:val="59CF35AC"/>
    <w:rsid w:val="59D93084"/>
    <w:rsid w:val="59E268FB"/>
    <w:rsid w:val="59E539F6"/>
    <w:rsid w:val="5A082B87"/>
    <w:rsid w:val="5A0C31B3"/>
    <w:rsid w:val="5A0D6A16"/>
    <w:rsid w:val="5A2B68D2"/>
    <w:rsid w:val="5A2F6ABD"/>
    <w:rsid w:val="5A415650"/>
    <w:rsid w:val="5A5105C3"/>
    <w:rsid w:val="5A5925FE"/>
    <w:rsid w:val="5A5A54FE"/>
    <w:rsid w:val="5A6847D4"/>
    <w:rsid w:val="5A70416F"/>
    <w:rsid w:val="5A751708"/>
    <w:rsid w:val="5A8654CC"/>
    <w:rsid w:val="5A8D164F"/>
    <w:rsid w:val="5A987877"/>
    <w:rsid w:val="5AAD6717"/>
    <w:rsid w:val="5AB032EE"/>
    <w:rsid w:val="5AB373BA"/>
    <w:rsid w:val="5AC13BE8"/>
    <w:rsid w:val="5B006684"/>
    <w:rsid w:val="5B045848"/>
    <w:rsid w:val="5B0C78F5"/>
    <w:rsid w:val="5B1523FA"/>
    <w:rsid w:val="5B2E1668"/>
    <w:rsid w:val="5B39471A"/>
    <w:rsid w:val="5B500A59"/>
    <w:rsid w:val="5B506AC3"/>
    <w:rsid w:val="5B526958"/>
    <w:rsid w:val="5B536466"/>
    <w:rsid w:val="5B68723A"/>
    <w:rsid w:val="5B743189"/>
    <w:rsid w:val="5B930D6A"/>
    <w:rsid w:val="5B9432DE"/>
    <w:rsid w:val="5BA93B43"/>
    <w:rsid w:val="5BB67C27"/>
    <w:rsid w:val="5BB97332"/>
    <w:rsid w:val="5BBC6476"/>
    <w:rsid w:val="5BCF72D3"/>
    <w:rsid w:val="5BD06812"/>
    <w:rsid w:val="5BD734B1"/>
    <w:rsid w:val="5BEA796C"/>
    <w:rsid w:val="5BF12BF0"/>
    <w:rsid w:val="5BF96A75"/>
    <w:rsid w:val="5C014ACD"/>
    <w:rsid w:val="5C1C4A54"/>
    <w:rsid w:val="5C1D6C33"/>
    <w:rsid w:val="5C211073"/>
    <w:rsid w:val="5C284801"/>
    <w:rsid w:val="5C2F7B0C"/>
    <w:rsid w:val="5C305DF7"/>
    <w:rsid w:val="5C331AF1"/>
    <w:rsid w:val="5C3D01F5"/>
    <w:rsid w:val="5C3D2513"/>
    <w:rsid w:val="5C4E4EC4"/>
    <w:rsid w:val="5C5E4791"/>
    <w:rsid w:val="5C645737"/>
    <w:rsid w:val="5C69733D"/>
    <w:rsid w:val="5C74658F"/>
    <w:rsid w:val="5C8C7C44"/>
    <w:rsid w:val="5C987128"/>
    <w:rsid w:val="5CAB4B60"/>
    <w:rsid w:val="5CBF06B9"/>
    <w:rsid w:val="5CC10696"/>
    <w:rsid w:val="5CC724C1"/>
    <w:rsid w:val="5CCC2C10"/>
    <w:rsid w:val="5CDA79EE"/>
    <w:rsid w:val="5CDD1115"/>
    <w:rsid w:val="5CE96A5A"/>
    <w:rsid w:val="5CF30676"/>
    <w:rsid w:val="5CFA66B6"/>
    <w:rsid w:val="5D041DC0"/>
    <w:rsid w:val="5D11373C"/>
    <w:rsid w:val="5D155469"/>
    <w:rsid w:val="5D1B79E4"/>
    <w:rsid w:val="5D604556"/>
    <w:rsid w:val="5D7E1CAB"/>
    <w:rsid w:val="5D9A1968"/>
    <w:rsid w:val="5DA03427"/>
    <w:rsid w:val="5DA12B26"/>
    <w:rsid w:val="5DF242AA"/>
    <w:rsid w:val="5DF90388"/>
    <w:rsid w:val="5E0914A4"/>
    <w:rsid w:val="5E325F47"/>
    <w:rsid w:val="5E3C6C0B"/>
    <w:rsid w:val="5E3F4424"/>
    <w:rsid w:val="5E433908"/>
    <w:rsid w:val="5E526C89"/>
    <w:rsid w:val="5E596E47"/>
    <w:rsid w:val="5E640B4C"/>
    <w:rsid w:val="5E8421F4"/>
    <w:rsid w:val="5E857C28"/>
    <w:rsid w:val="5E943315"/>
    <w:rsid w:val="5E99403E"/>
    <w:rsid w:val="5EB5647F"/>
    <w:rsid w:val="5EB9756D"/>
    <w:rsid w:val="5ECB7BF2"/>
    <w:rsid w:val="5EEB6EA9"/>
    <w:rsid w:val="5EF24373"/>
    <w:rsid w:val="5F123402"/>
    <w:rsid w:val="5F15489F"/>
    <w:rsid w:val="5F160E8A"/>
    <w:rsid w:val="5F1B18E3"/>
    <w:rsid w:val="5F1B6750"/>
    <w:rsid w:val="5F2E502C"/>
    <w:rsid w:val="5F3F41A6"/>
    <w:rsid w:val="5F5F2A5D"/>
    <w:rsid w:val="5F6A70E7"/>
    <w:rsid w:val="5F736856"/>
    <w:rsid w:val="5F7413ED"/>
    <w:rsid w:val="5F74277E"/>
    <w:rsid w:val="5F7B7912"/>
    <w:rsid w:val="5F817E11"/>
    <w:rsid w:val="5FA76A91"/>
    <w:rsid w:val="5FCE245F"/>
    <w:rsid w:val="5FD32219"/>
    <w:rsid w:val="5FDC1B9B"/>
    <w:rsid w:val="5FF74A8C"/>
    <w:rsid w:val="5FFB1252"/>
    <w:rsid w:val="60130301"/>
    <w:rsid w:val="602576BF"/>
    <w:rsid w:val="603043EF"/>
    <w:rsid w:val="604D59E9"/>
    <w:rsid w:val="6053446B"/>
    <w:rsid w:val="60830074"/>
    <w:rsid w:val="60870B21"/>
    <w:rsid w:val="6095223F"/>
    <w:rsid w:val="60A869EE"/>
    <w:rsid w:val="60AC0C65"/>
    <w:rsid w:val="60BE4E2F"/>
    <w:rsid w:val="60D33850"/>
    <w:rsid w:val="60DD07BF"/>
    <w:rsid w:val="60E9103E"/>
    <w:rsid w:val="60EE1FDB"/>
    <w:rsid w:val="610526AE"/>
    <w:rsid w:val="610C1445"/>
    <w:rsid w:val="611E245A"/>
    <w:rsid w:val="61406B67"/>
    <w:rsid w:val="61545B6D"/>
    <w:rsid w:val="616C773E"/>
    <w:rsid w:val="61763288"/>
    <w:rsid w:val="61981920"/>
    <w:rsid w:val="61A335E1"/>
    <w:rsid w:val="61A359FF"/>
    <w:rsid w:val="61A92715"/>
    <w:rsid w:val="61BD00F1"/>
    <w:rsid w:val="61C02FF5"/>
    <w:rsid w:val="61D55291"/>
    <w:rsid w:val="61D71D00"/>
    <w:rsid w:val="61DB6C55"/>
    <w:rsid w:val="61EE19CC"/>
    <w:rsid w:val="61F354C2"/>
    <w:rsid w:val="620B334F"/>
    <w:rsid w:val="620E5D8A"/>
    <w:rsid w:val="62125083"/>
    <w:rsid w:val="62262E7A"/>
    <w:rsid w:val="6231003C"/>
    <w:rsid w:val="62325A57"/>
    <w:rsid w:val="62366488"/>
    <w:rsid w:val="623B63B7"/>
    <w:rsid w:val="623F4920"/>
    <w:rsid w:val="624A1B49"/>
    <w:rsid w:val="624E45D8"/>
    <w:rsid w:val="6250617C"/>
    <w:rsid w:val="62520DCA"/>
    <w:rsid w:val="62666F47"/>
    <w:rsid w:val="62690F67"/>
    <w:rsid w:val="627A370F"/>
    <w:rsid w:val="62990512"/>
    <w:rsid w:val="62B25649"/>
    <w:rsid w:val="62BC6E00"/>
    <w:rsid w:val="62C56FE5"/>
    <w:rsid w:val="62C7240E"/>
    <w:rsid w:val="62D0563D"/>
    <w:rsid w:val="62EA423D"/>
    <w:rsid w:val="630031BE"/>
    <w:rsid w:val="630761A7"/>
    <w:rsid w:val="630E78F0"/>
    <w:rsid w:val="63103FC7"/>
    <w:rsid w:val="63160CAE"/>
    <w:rsid w:val="631652DA"/>
    <w:rsid w:val="631D3111"/>
    <w:rsid w:val="63204A36"/>
    <w:rsid w:val="63250A4F"/>
    <w:rsid w:val="632E1C39"/>
    <w:rsid w:val="6361690C"/>
    <w:rsid w:val="63733461"/>
    <w:rsid w:val="637E3BE7"/>
    <w:rsid w:val="63850E8E"/>
    <w:rsid w:val="638C4CDE"/>
    <w:rsid w:val="63905FCF"/>
    <w:rsid w:val="63A20961"/>
    <w:rsid w:val="63A20A78"/>
    <w:rsid w:val="63A853FB"/>
    <w:rsid w:val="63C75B92"/>
    <w:rsid w:val="63CA29B9"/>
    <w:rsid w:val="63D3253C"/>
    <w:rsid w:val="63F60575"/>
    <w:rsid w:val="63F97961"/>
    <w:rsid w:val="640E3524"/>
    <w:rsid w:val="640F7FA3"/>
    <w:rsid w:val="64102D47"/>
    <w:rsid w:val="64280937"/>
    <w:rsid w:val="64294638"/>
    <w:rsid w:val="642F435C"/>
    <w:rsid w:val="64307255"/>
    <w:rsid w:val="64410116"/>
    <w:rsid w:val="64412FC5"/>
    <w:rsid w:val="6453775C"/>
    <w:rsid w:val="6475495F"/>
    <w:rsid w:val="64A37D80"/>
    <w:rsid w:val="64B73716"/>
    <w:rsid w:val="64BD7A01"/>
    <w:rsid w:val="64C97B3D"/>
    <w:rsid w:val="64CD75B9"/>
    <w:rsid w:val="64D85F5A"/>
    <w:rsid w:val="64EE07A4"/>
    <w:rsid w:val="64FD759D"/>
    <w:rsid w:val="650278C1"/>
    <w:rsid w:val="65041A55"/>
    <w:rsid w:val="65096401"/>
    <w:rsid w:val="651F1D9A"/>
    <w:rsid w:val="6528351F"/>
    <w:rsid w:val="65327258"/>
    <w:rsid w:val="653F00AD"/>
    <w:rsid w:val="654A4479"/>
    <w:rsid w:val="654B3989"/>
    <w:rsid w:val="65544D25"/>
    <w:rsid w:val="6566344B"/>
    <w:rsid w:val="656A573C"/>
    <w:rsid w:val="65763127"/>
    <w:rsid w:val="65886A1A"/>
    <w:rsid w:val="65905186"/>
    <w:rsid w:val="65926452"/>
    <w:rsid w:val="65937E61"/>
    <w:rsid w:val="65964DC4"/>
    <w:rsid w:val="659E6DB8"/>
    <w:rsid w:val="65A35E61"/>
    <w:rsid w:val="65A62DB8"/>
    <w:rsid w:val="65B12C47"/>
    <w:rsid w:val="65BB367F"/>
    <w:rsid w:val="65CA48D5"/>
    <w:rsid w:val="65DA1825"/>
    <w:rsid w:val="65E55DC7"/>
    <w:rsid w:val="65EF4302"/>
    <w:rsid w:val="660518AD"/>
    <w:rsid w:val="662E458E"/>
    <w:rsid w:val="663B04F3"/>
    <w:rsid w:val="66843C27"/>
    <w:rsid w:val="668A358B"/>
    <w:rsid w:val="66A22294"/>
    <w:rsid w:val="66B167D9"/>
    <w:rsid w:val="66B619D2"/>
    <w:rsid w:val="66B718F6"/>
    <w:rsid w:val="66C6028C"/>
    <w:rsid w:val="66CD02B8"/>
    <w:rsid w:val="66F35B25"/>
    <w:rsid w:val="66FD34E6"/>
    <w:rsid w:val="66FE30D6"/>
    <w:rsid w:val="67087440"/>
    <w:rsid w:val="670B02A7"/>
    <w:rsid w:val="671B2EF2"/>
    <w:rsid w:val="6732010A"/>
    <w:rsid w:val="674D062F"/>
    <w:rsid w:val="675B6F05"/>
    <w:rsid w:val="675F10E8"/>
    <w:rsid w:val="67721F8C"/>
    <w:rsid w:val="677A3AA5"/>
    <w:rsid w:val="677C0BF7"/>
    <w:rsid w:val="677D2510"/>
    <w:rsid w:val="677E2968"/>
    <w:rsid w:val="679E7A1F"/>
    <w:rsid w:val="67AF466A"/>
    <w:rsid w:val="67B36D91"/>
    <w:rsid w:val="67CD4770"/>
    <w:rsid w:val="67DF5131"/>
    <w:rsid w:val="67E0527D"/>
    <w:rsid w:val="67E31422"/>
    <w:rsid w:val="67EA4D75"/>
    <w:rsid w:val="67F8136D"/>
    <w:rsid w:val="680B3317"/>
    <w:rsid w:val="681B6330"/>
    <w:rsid w:val="682C3322"/>
    <w:rsid w:val="68570DC2"/>
    <w:rsid w:val="6868422B"/>
    <w:rsid w:val="68847A53"/>
    <w:rsid w:val="68A864AF"/>
    <w:rsid w:val="68E97459"/>
    <w:rsid w:val="690220BD"/>
    <w:rsid w:val="69030DDF"/>
    <w:rsid w:val="6912744C"/>
    <w:rsid w:val="69187AE4"/>
    <w:rsid w:val="69273460"/>
    <w:rsid w:val="69336BFC"/>
    <w:rsid w:val="694F15B3"/>
    <w:rsid w:val="69513A99"/>
    <w:rsid w:val="695276CE"/>
    <w:rsid w:val="695F08AF"/>
    <w:rsid w:val="69611825"/>
    <w:rsid w:val="696E6A02"/>
    <w:rsid w:val="69797C2C"/>
    <w:rsid w:val="69823C91"/>
    <w:rsid w:val="69826BA8"/>
    <w:rsid w:val="698A1E75"/>
    <w:rsid w:val="6998191E"/>
    <w:rsid w:val="699D3999"/>
    <w:rsid w:val="69B3536F"/>
    <w:rsid w:val="69BF1493"/>
    <w:rsid w:val="69C5778C"/>
    <w:rsid w:val="69C953F4"/>
    <w:rsid w:val="69C97462"/>
    <w:rsid w:val="69D15066"/>
    <w:rsid w:val="69E55D04"/>
    <w:rsid w:val="69E71CBB"/>
    <w:rsid w:val="6A07169A"/>
    <w:rsid w:val="6A1904ED"/>
    <w:rsid w:val="6A1B66F9"/>
    <w:rsid w:val="6A3A7EA9"/>
    <w:rsid w:val="6A4E63D2"/>
    <w:rsid w:val="6A72023C"/>
    <w:rsid w:val="6A835F76"/>
    <w:rsid w:val="6A892BBB"/>
    <w:rsid w:val="6A8C1AE4"/>
    <w:rsid w:val="6A934155"/>
    <w:rsid w:val="6A977D6C"/>
    <w:rsid w:val="6A981DCD"/>
    <w:rsid w:val="6AA30454"/>
    <w:rsid w:val="6AB71A6D"/>
    <w:rsid w:val="6AE65368"/>
    <w:rsid w:val="6B0B7BB9"/>
    <w:rsid w:val="6B1C3891"/>
    <w:rsid w:val="6B3F28EF"/>
    <w:rsid w:val="6B4C5F2C"/>
    <w:rsid w:val="6B561562"/>
    <w:rsid w:val="6B5A2A48"/>
    <w:rsid w:val="6B620C02"/>
    <w:rsid w:val="6B702C55"/>
    <w:rsid w:val="6B743F45"/>
    <w:rsid w:val="6B792121"/>
    <w:rsid w:val="6B8019CD"/>
    <w:rsid w:val="6B8F7643"/>
    <w:rsid w:val="6B9A4DEC"/>
    <w:rsid w:val="6BAA3072"/>
    <w:rsid w:val="6BB4311A"/>
    <w:rsid w:val="6BCE7A05"/>
    <w:rsid w:val="6BF440E4"/>
    <w:rsid w:val="6BFF45AB"/>
    <w:rsid w:val="6C081D85"/>
    <w:rsid w:val="6C0B6EFE"/>
    <w:rsid w:val="6C337910"/>
    <w:rsid w:val="6C404FA0"/>
    <w:rsid w:val="6C4B4E38"/>
    <w:rsid w:val="6C5343CE"/>
    <w:rsid w:val="6C5643DD"/>
    <w:rsid w:val="6C727D8C"/>
    <w:rsid w:val="6C74361B"/>
    <w:rsid w:val="6C804214"/>
    <w:rsid w:val="6CB56876"/>
    <w:rsid w:val="6CC419F3"/>
    <w:rsid w:val="6CC469B5"/>
    <w:rsid w:val="6CC52465"/>
    <w:rsid w:val="6CC5648B"/>
    <w:rsid w:val="6CCC3EC6"/>
    <w:rsid w:val="6CE15150"/>
    <w:rsid w:val="6CE57C55"/>
    <w:rsid w:val="6CE97F64"/>
    <w:rsid w:val="6CEB0E2F"/>
    <w:rsid w:val="6CF31F0A"/>
    <w:rsid w:val="6CF549E6"/>
    <w:rsid w:val="6CFA1076"/>
    <w:rsid w:val="6D191CDD"/>
    <w:rsid w:val="6D22611B"/>
    <w:rsid w:val="6D564DD4"/>
    <w:rsid w:val="6D5E77D6"/>
    <w:rsid w:val="6D7454FD"/>
    <w:rsid w:val="6D751B26"/>
    <w:rsid w:val="6D7E1BB3"/>
    <w:rsid w:val="6D967A6A"/>
    <w:rsid w:val="6D9919F3"/>
    <w:rsid w:val="6DA24819"/>
    <w:rsid w:val="6DA31ABE"/>
    <w:rsid w:val="6DD63486"/>
    <w:rsid w:val="6DE62D4F"/>
    <w:rsid w:val="6E000876"/>
    <w:rsid w:val="6E014891"/>
    <w:rsid w:val="6E097405"/>
    <w:rsid w:val="6E101629"/>
    <w:rsid w:val="6E145A7C"/>
    <w:rsid w:val="6E160D9C"/>
    <w:rsid w:val="6E4662DC"/>
    <w:rsid w:val="6E511E37"/>
    <w:rsid w:val="6E5B554A"/>
    <w:rsid w:val="6E5C7D35"/>
    <w:rsid w:val="6E674912"/>
    <w:rsid w:val="6E6A4764"/>
    <w:rsid w:val="6E746D80"/>
    <w:rsid w:val="6E9821A1"/>
    <w:rsid w:val="6EA2047A"/>
    <w:rsid w:val="6EEC2156"/>
    <w:rsid w:val="6EF76E3B"/>
    <w:rsid w:val="6EFA7A10"/>
    <w:rsid w:val="6F2E4584"/>
    <w:rsid w:val="6F721BEC"/>
    <w:rsid w:val="6F7826CF"/>
    <w:rsid w:val="6F8F70CC"/>
    <w:rsid w:val="6F972CFB"/>
    <w:rsid w:val="6F9A3481"/>
    <w:rsid w:val="6F9F2DC4"/>
    <w:rsid w:val="6FA06F23"/>
    <w:rsid w:val="6FAA3674"/>
    <w:rsid w:val="6FAF01A1"/>
    <w:rsid w:val="6FB07698"/>
    <w:rsid w:val="6FDB7436"/>
    <w:rsid w:val="6FDF3A89"/>
    <w:rsid w:val="6FE07F82"/>
    <w:rsid w:val="6FEB35BA"/>
    <w:rsid w:val="6FF2376F"/>
    <w:rsid w:val="6FF81393"/>
    <w:rsid w:val="70003C65"/>
    <w:rsid w:val="70005178"/>
    <w:rsid w:val="70052F32"/>
    <w:rsid w:val="70065B25"/>
    <w:rsid w:val="701222E8"/>
    <w:rsid w:val="7022547F"/>
    <w:rsid w:val="70296D61"/>
    <w:rsid w:val="70305E41"/>
    <w:rsid w:val="703F7325"/>
    <w:rsid w:val="704D5C5C"/>
    <w:rsid w:val="70565E69"/>
    <w:rsid w:val="70646B96"/>
    <w:rsid w:val="706D4E67"/>
    <w:rsid w:val="706F2D29"/>
    <w:rsid w:val="708014F1"/>
    <w:rsid w:val="70836C49"/>
    <w:rsid w:val="70A40930"/>
    <w:rsid w:val="70A7716A"/>
    <w:rsid w:val="70AA59AD"/>
    <w:rsid w:val="70B8391A"/>
    <w:rsid w:val="70C278F5"/>
    <w:rsid w:val="70CD4DD1"/>
    <w:rsid w:val="70D55D00"/>
    <w:rsid w:val="70DC06A6"/>
    <w:rsid w:val="70DD4BB8"/>
    <w:rsid w:val="70FF1E43"/>
    <w:rsid w:val="71092536"/>
    <w:rsid w:val="710F3080"/>
    <w:rsid w:val="712251D1"/>
    <w:rsid w:val="715C0436"/>
    <w:rsid w:val="716213EE"/>
    <w:rsid w:val="7165132D"/>
    <w:rsid w:val="716D18D5"/>
    <w:rsid w:val="71720E78"/>
    <w:rsid w:val="71805813"/>
    <w:rsid w:val="7188634B"/>
    <w:rsid w:val="71904773"/>
    <w:rsid w:val="71992AB4"/>
    <w:rsid w:val="719C73D8"/>
    <w:rsid w:val="71A81333"/>
    <w:rsid w:val="71B862B5"/>
    <w:rsid w:val="71B95C18"/>
    <w:rsid w:val="71BB16C3"/>
    <w:rsid w:val="71BB467B"/>
    <w:rsid w:val="71BD3980"/>
    <w:rsid w:val="71C417B3"/>
    <w:rsid w:val="71D012DA"/>
    <w:rsid w:val="71E63697"/>
    <w:rsid w:val="71E7509A"/>
    <w:rsid w:val="7202528F"/>
    <w:rsid w:val="72143EAF"/>
    <w:rsid w:val="72317074"/>
    <w:rsid w:val="723472E2"/>
    <w:rsid w:val="72386A0D"/>
    <w:rsid w:val="726C5886"/>
    <w:rsid w:val="727262A0"/>
    <w:rsid w:val="72806500"/>
    <w:rsid w:val="72A73849"/>
    <w:rsid w:val="72A84BC9"/>
    <w:rsid w:val="72B818A4"/>
    <w:rsid w:val="72BE6BE9"/>
    <w:rsid w:val="72DB51D0"/>
    <w:rsid w:val="72F7152C"/>
    <w:rsid w:val="72FA1ED6"/>
    <w:rsid w:val="72FE21A1"/>
    <w:rsid w:val="730078DD"/>
    <w:rsid w:val="73116704"/>
    <w:rsid w:val="73124BBA"/>
    <w:rsid w:val="732C3B50"/>
    <w:rsid w:val="73354371"/>
    <w:rsid w:val="733D3183"/>
    <w:rsid w:val="73432F84"/>
    <w:rsid w:val="734D4E6B"/>
    <w:rsid w:val="735C71B3"/>
    <w:rsid w:val="737816A8"/>
    <w:rsid w:val="737C58BE"/>
    <w:rsid w:val="737E7075"/>
    <w:rsid w:val="73913062"/>
    <w:rsid w:val="73937047"/>
    <w:rsid w:val="73937D3A"/>
    <w:rsid w:val="73A31C75"/>
    <w:rsid w:val="73AE3CBE"/>
    <w:rsid w:val="73AF49BD"/>
    <w:rsid w:val="73E154A0"/>
    <w:rsid w:val="73F641AB"/>
    <w:rsid w:val="73F92E98"/>
    <w:rsid w:val="740E2030"/>
    <w:rsid w:val="74144EA0"/>
    <w:rsid w:val="741C4D4A"/>
    <w:rsid w:val="741D661B"/>
    <w:rsid w:val="74291CE9"/>
    <w:rsid w:val="742A3BDB"/>
    <w:rsid w:val="74347BB6"/>
    <w:rsid w:val="743A3D1F"/>
    <w:rsid w:val="744426E2"/>
    <w:rsid w:val="745466A7"/>
    <w:rsid w:val="74601BD6"/>
    <w:rsid w:val="74750914"/>
    <w:rsid w:val="74785503"/>
    <w:rsid w:val="74822038"/>
    <w:rsid w:val="748C29E9"/>
    <w:rsid w:val="74A04473"/>
    <w:rsid w:val="74AB4551"/>
    <w:rsid w:val="74B94487"/>
    <w:rsid w:val="74CB535B"/>
    <w:rsid w:val="74E0285E"/>
    <w:rsid w:val="74E41E18"/>
    <w:rsid w:val="74EE7A3F"/>
    <w:rsid w:val="74F4751F"/>
    <w:rsid w:val="74F85172"/>
    <w:rsid w:val="74F94A87"/>
    <w:rsid w:val="74F97E05"/>
    <w:rsid w:val="750341BF"/>
    <w:rsid w:val="751968C4"/>
    <w:rsid w:val="752341C1"/>
    <w:rsid w:val="75327BFE"/>
    <w:rsid w:val="755172C5"/>
    <w:rsid w:val="755529D0"/>
    <w:rsid w:val="7567351D"/>
    <w:rsid w:val="75692C6E"/>
    <w:rsid w:val="757C1012"/>
    <w:rsid w:val="75895FFD"/>
    <w:rsid w:val="759B6AFB"/>
    <w:rsid w:val="759E4EA7"/>
    <w:rsid w:val="75C068A9"/>
    <w:rsid w:val="75D978F9"/>
    <w:rsid w:val="75DB4086"/>
    <w:rsid w:val="75E417B2"/>
    <w:rsid w:val="76132FE4"/>
    <w:rsid w:val="763656E0"/>
    <w:rsid w:val="763C3EA3"/>
    <w:rsid w:val="76400507"/>
    <w:rsid w:val="764440D9"/>
    <w:rsid w:val="765C674B"/>
    <w:rsid w:val="768E55DA"/>
    <w:rsid w:val="769E24D8"/>
    <w:rsid w:val="769F6C8C"/>
    <w:rsid w:val="76A0160E"/>
    <w:rsid w:val="76A54445"/>
    <w:rsid w:val="76BD097A"/>
    <w:rsid w:val="76D64223"/>
    <w:rsid w:val="76E14C98"/>
    <w:rsid w:val="76E30140"/>
    <w:rsid w:val="76E61D96"/>
    <w:rsid w:val="76F754DC"/>
    <w:rsid w:val="77214EB2"/>
    <w:rsid w:val="77363120"/>
    <w:rsid w:val="773E2BC7"/>
    <w:rsid w:val="775F3709"/>
    <w:rsid w:val="77694277"/>
    <w:rsid w:val="777C2047"/>
    <w:rsid w:val="777E72EB"/>
    <w:rsid w:val="77837BFC"/>
    <w:rsid w:val="77872A68"/>
    <w:rsid w:val="77950640"/>
    <w:rsid w:val="7795400E"/>
    <w:rsid w:val="77A95C32"/>
    <w:rsid w:val="77AB1F47"/>
    <w:rsid w:val="77B63286"/>
    <w:rsid w:val="77E17B5D"/>
    <w:rsid w:val="77F8029D"/>
    <w:rsid w:val="780D0AF4"/>
    <w:rsid w:val="78106987"/>
    <w:rsid w:val="78155CF8"/>
    <w:rsid w:val="781B54E5"/>
    <w:rsid w:val="781C29EF"/>
    <w:rsid w:val="78260A22"/>
    <w:rsid w:val="783212C7"/>
    <w:rsid w:val="78324765"/>
    <w:rsid w:val="783B622A"/>
    <w:rsid w:val="784063F8"/>
    <w:rsid w:val="78555C36"/>
    <w:rsid w:val="785B044D"/>
    <w:rsid w:val="785F7AC3"/>
    <w:rsid w:val="78617FD5"/>
    <w:rsid w:val="78734E25"/>
    <w:rsid w:val="788248BE"/>
    <w:rsid w:val="78854964"/>
    <w:rsid w:val="78981E14"/>
    <w:rsid w:val="78A16DC0"/>
    <w:rsid w:val="78A64E78"/>
    <w:rsid w:val="78AF73D8"/>
    <w:rsid w:val="78BC4079"/>
    <w:rsid w:val="78CB79FF"/>
    <w:rsid w:val="78D163F7"/>
    <w:rsid w:val="78DD52D7"/>
    <w:rsid w:val="78F04942"/>
    <w:rsid w:val="78F51C92"/>
    <w:rsid w:val="78FC5DA2"/>
    <w:rsid w:val="78FF5438"/>
    <w:rsid w:val="78FF75C8"/>
    <w:rsid w:val="790A5D98"/>
    <w:rsid w:val="790D76E0"/>
    <w:rsid w:val="7914182E"/>
    <w:rsid w:val="794E1E8C"/>
    <w:rsid w:val="794E6DA1"/>
    <w:rsid w:val="79555606"/>
    <w:rsid w:val="7963001B"/>
    <w:rsid w:val="796411F3"/>
    <w:rsid w:val="79782668"/>
    <w:rsid w:val="797D7C7B"/>
    <w:rsid w:val="798473C1"/>
    <w:rsid w:val="79A917D5"/>
    <w:rsid w:val="79BD03AA"/>
    <w:rsid w:val="79DC745C"/>
    <w:rsid w:val="79F031C1"/>
    <w:rsid w:val="79F866D7"/>
    <w:rsid w:val="7A0D5030"/>
    <w:rsid w:val="7A1F0B92"/>
    <w:rsid w:val="7A2F0FE2"/>
    <w:rsid w:val="7A3B0D02"/>
    <w:rsid w:val="7A3C0448"/>
    <w:rsid w:val="7A462225"/>
    <w:rsid w:val="7A4B1579"/>
    <w:rsid w:val="7A560120"/>
    <w:rsid w:val="7A5A4A57"/>
    <w:rsid w:val="7A9459E7"/>
    <w:rsid w:val="7A9F5588"/>
    <w:rsid w:val="7AAF3A90"/>
    <w:rsid w:val="7AB01D8D"/>
    <w:rsid w:val="7ABE4F6D"/>
    <w:rsid w:val="7ABF15A2"/>
    <w:rsid w:val="7AC8595C"/>
    <w:rsid w:val="7AD6371B"/>
    <w:rsid w:val="7AD83D61"/>
    <w:rsid w:val="7AD8638B"/>
    <w:rsid w:val="7AE04EF0"/>
    <w:rsid w:val="7AE66DF9"/>
    <w:rsid w:val="7AE9138D"/>
    <w:rsid w:val="7AF30762"/>
    <w:rsid w:val="7B0831DB"/>
    <w:rsid w:val="7B127C9A"/>
    <w:rsid w:val="7B132239"/>
    <w:rsid w:val="7B14085D"/>
    <w:rsid w:val="7B3525E5"/>
    <w:rsid w:val="7B38144C"/>
    <w:rsid w:val="7B3B4883"/>
    <w:rsid w:val="7B443BAC"/>
    <w:rsid w:val="7B4F6860"/>
    <w:rsid w:val="7B616B8F"/>
    <w:rsid w:val="7B77268D"/>
    <w:rsid w:val="7B7D6711"/>
    <w:rsid w:val="7B7F209E"/>
    <w:rsid w:val="7B854D5B"/>
    <w:rsid w:val="7B990D55"/>
    <w:rsid w:val="7BA521B3"/>
    <w:rsid w:val="7BAF270A"/>
    <w:rsid w:val="7BBD429D"/>
    <w:rsid w:val="7BBE34FB"/>
    <w:rsid w:val="7BC27BB4"/>
    <w:rsid w:val="7BCC21D7"/>
    <w:rsid w:val="7BCE26A5"/>
    <w:rsid w:val="7BE039E2"/>
    <w:rsid w:val="7BE7137F"/>
    <w:rsid w:val="7BF333D1"/>
    <w:rsid w:val="7BFD194B"/>
    <w:rsid w:val="7C036F42"/>
    <w:rsid w:val="7C18182D"/>
    <w:rsid w:val="7C1E48E8"/>
    <w:rsid w:val="7C3D63E5"/>
    <w:rsid w:val="7C4357E8"/>
    <w:rsid w:val="7C5378EA"/>
    <w:rsid w:val="7C6F2369"/>
    <w:rsid w:val="7C7B7D67"/>
    <w:rsid w:val="7C8A0A6B"/>
    <w:rsid w:val="7C8C4745"/>
    <w:rsid w:val="7C930BAE"/>
    <w:rsid w:val="7C9C2794"/>
    <w:rsid w:val="7CBF7665"/>
    <w:rsid w:val="7CBF7924"/>
    <w:rsid w:val="7CCB2B42"/>
    <w:rsid w:val="7CDF2E23"/>
    <w:rsid w:val="7CFC37A3"/>
    <w:rsid w:val="7CFF57C5"/>
    <w:rsid w:val="7D0522E0"/>
    <w:rsid w:val="7D176CD4"/>
    <w:rsid w:val="7D18193F"/>
    <w:rsid w:val="7D3C36D7"/>
    <w:rsid w:val="7D4E6D0D"/>
    <w:rsid w:val="7D591439"/>
    <w:rsid w:val="7D6D7F9D"/>
    <w:rsid w:val="7D737ECC"/>
    <w:rsid w:val="7D7F4D51"/>
    <w:rsid w:val="7D8354C7"/>
    <w:rsid w:val="7D941C0F"/>
    <w:rsid w:val="7DAB67A3"/>
    <w:rsid w:val="7DB21411"/>
    <w:rsid w:val="7DB44B27"/>
    <w:rsid w:val="7DC92892"/>
    <w:rsid w:val="7DCE0DBE"/>
    <w:rsid w:val="7DDC5561"/>
    <w:rsid w:val="7DE805EC"/>
    <w:rsid w:val="7DF0597F"/>
    <w:rsid w:val="7E180D00"/>
    <w:rsid w:val="7E1A5F33"/>
    <w:rsid w:val="7E1B1677"/>
    <w:rsid w:val="7E3B5E95"/>
    <w:rsid w:val="7E4C0278"/>
    <w:rsid w:val="7E554F28"/>
    <w:rsid w:val="7E582A5A"/>
    <w:rsid w:val="7E5C75C7"/>
    <w:rsid w:val="7E705793"/>
    <w:rsid w:val="7E851695"/>
    <w:rsid w:val="7E865444"/>
    <w:rsid w:val="7E970A59"/>
    <w:rsid w:val="7EAF7104"/>
    <w:rsid w:val="7EB270C2"/>
    <w:rsid w:val="7ECB20C5"/>
    <w:rsid w:val="7ED9614C"/>
    <w:rsid w:val="7EE8613A"/>
    <w:rsid w:val="7EEC2601"/>
    <w:rsid w:val="7F0E419C"/>
    <w:rsid w:val="7F1A430A"/>
    <w:rsid w:val="7F1A7380"/>
    <w:rsid w:val="7F1B6A1F"/>
    <w:rsid w:val="7F1C3521"/>
    <w:rsid w:val="7F2C2C1A"/>
    <w:rsid w:val="7F341C62"/>
    <w:rsid w:val="7F497E6B"/>
    <w:rsid w:val="7F5C2611"/>
    <w:rsid w:val="7F7815B7"/>
    <w:rsid w:val="7F8D6516"/>
    <w:rsid w:val="7F9075B7"/>
    <w:rsid w:val="7F9614FF"/>
    <w:rsid w:val="7F9C2851"/>
    <w:rsid w:val="7F9C3B32"/>
    <w:rsid w:val="7FCB421A"/>
    <w:rsid w:val="7FCF058D"/>
    <w:rsid w:val="7FDE5C9E"/>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ADB76-CCB2-4499-B0A3-14947CD16909}">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1390</Words>
  <Characters>7928</Characters>
  <Lines>66</Lines>
  <Paragraphs>18</Paragraphs>
  <TotalTime>125</TotalTime>
  <ScaleCrop>false</ScaleCrop>
  <LinksUpToDate>false</LinksUpToDate>
  <CharactersWithSpaces>9300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2019-05-03T02:33:23Z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